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E" w:rsidRDefault="0016640E" w:rsidP="00F049AB">
      <w:pPr>
        <w:pStyle w:val="Tytuinfomacjisygnalnej"/>
        <w:rPr>
          <w:lang w:val="en-US"/>
        </w:rPr>
      </w:pPr>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A95948">
        <w:rPr>
          <w:lang w:val="en-US"/>
        </w:rPr>
        <w:t>October</w:t>
      </w:r>
      <w:r>
        <w:rPr>
          <w:lang w:val="en-US"/>
        </w:rPr>
        <w:t xml:space="preserve"> 2022</w:t>
      </w:r>
    </w:p>
    <w:p w:rsidR="00803B4C" w:rsidRDefault="008A3906" w:rsidP="00803B4C">
      <w:pPr>
        <w:pStyle w:val="LID"/>
        <w:rPr>
          <w:lang w:val="en-GB"/>
        </w:rPr>
      </w:pPr>
      <w:r>
        <w:rPr>
          <w:color w:val="001D77"/>
        </w:rPr>
        <w:pict>
          <v:roundrect id="Pole tekstowe 2" o:spid="_x0000_s1040" alt="Increase by 2.4%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A95948">
                    <w:rPr>
                      <w:rStyle w:val="WartowskanikaZnak"/>
                      <w:lang w:val="en-US"/>
                    </w:rPr>
                    <w:t>4</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803B4C" w:rsidRPr="0062060F">
        <w:rPr>
          <w:lang w:val="en-GB"/>
        </w:rPr>
        <w:t xml:space="preserve">In </w:t>
      </w:r>
      <w:r w:rsidR="00803B4C">
        <w:rPr>
          <w:lang w:val="en-GB"/>
        </w:rPr>
        <w:t>October 2022, average paid employment</w:t>
      </w:r>
      <w:r w:rsidR="00803B4C" w:rsidRPr="0062060F">
        <w:rPr>
          <w:lang w:val="en-GB"/>
        </w:rPr>
        <w:t xml:space="preserve"> in </w:t>
      </w:r>
      <w:r w:rsidR="00803B4C">
        <w:rPr>
          <w:lang w:val="en-GB"/>
        </w:rPr>
        <w:t xml:space="preserve">the </w:t>
      </w:r>
      <w:r w:rsidR="00803B4C" w:rsidRPr="0062060F">
        <w:rPr>
          <w:lang w:val="en-GB"/>
        </w:rPr>
        <w:t xml:space="preserve">enterprise sector </w:t>
      </w:r>
      <w:r w:rsidR="00803B4C">
        <w:rPr>
          <w:lang w:val="en-GB"/>
        </w:rPr>
        <w:t xml:space="preserve">compared to October 2021 </w:t>
      </w:r>
      <w:r w:rsidR="00803B4C" w:rsidRPr="0062060F">
        <w:rPr>
          <w:lang w:val="en-GB"/>
        </w:rPr>
        <w:t xml:space="preserve">was higher by </w:t>
      </w:r>
      <w:r w:rsidR="00803B4C">
        <w:rPr>
          <w:lang w:val="en-GB"/>
        </w:rPr>
        <w:t>2</w:t>
      </w:r>
      <w:r w:rsidR="00803B4C" w:rsidRPr="0062060F">
        <w:rPr>
          <w:lang w:val="en-GB"/>
        </w:rPr>
        <w:t>.</w:t>
      </w:r>
      <w:r w:rsidR="00803B4C">
        <w:rPr>
          <w:lang w:val="en-GB"/>
        </w:rPr>
        <w:t>4</w:t>
      </w:r>
      <w:r w:rsidR="00803B4C" w:rsidRPr="0062060F">
        <w:rPr>
          <w:lang w:val="en-GB"/>
        </w:rPr>
        <w:t xml:space="preserve">% y/y and amounted to </w:t>
      </w:r>
      <w:r w:rsidR="00803B4C">
        <w:rPr>
          <w:lang w:val="en-GB"/>
        </w:rPr>
        <w:t xml:space="preserve">6500.9 </w:t>
      </w:r>
      <w:r w:rsidR="00803B4C" w:rsidRPr="0062060F">
        <w:rPr>
          <w:lang w:val="en-GB"/>
        </w:rPr>
        <w:t>thousand</w:t>
      </w:r>
      <w:r w:rsidR="00803B4C">
        <w:rPr>
          <w:lang w:val="en-GB"/>
        </w:rPr>
        <w:t xml:space="preserve"> full-time equivalents. In comparison to the previous month</w:t>
      </w:r>
      <w:r w:rsidR="00803B4C" w:rsidRPr="0062060F">
        <w:rPr>
          <w:lang w:val="en-GB"/>
        </w:rPr>
        <w:t xml:space="preserve"> </w:t>
      </w:r>
      <w:r w:rsidR="00803B4C">
        <w:rPr>
          <w:lang w:val="en-GB"/>
        </w:rPr>
        <w:t>average paid employment increased minimally (by 0.1%).</w:t>
      </w:r>
    </w:p>
    <w:p w:rsidR="00B10921" w:rsidRDefault="00B10921" w:rsidP="00B10921">
      <w:pPr>
        <w:pStyle w:val="Lead"/>
        <w:spacing w:before="240"/>
        <w:rPr>
          <w:lang w:val="en-GB"/>
        </w:rPr>
      </w:pPr>
    </w:p>
    <w:p w:rsidR="0016640E" w:rsidRPr="00F10486" w:rsidRDefault="008A3906" w:rsidP="00B10921">
      <w:pPr>
        <w:pStyle w:val="Lead"/>
        <w:spacing w:before="240"/>
        <w:rPr>
          <w:rFonts w:eastAsia="Times New Roman" w:cs="Times New Roman"/>
          <w:bCs/>
          <w:noProof w:val="0"/>
          <w:lang w:val="en-US"/>
        </w:rPr>
      </w:pPr>
      <w:r>
        <w:rPr>
          <w:color w:val="001D77"/>
        </w:rPr>
        <w:pict>
          <v:roundrect id="_x0000_s1041" alt="Increase by 13.0 %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A95948">
                    <w:rPr>
                      <w:rStyle w:val="WartowskanikaZnak"/>
                      <w:lang w:val="en-US"/>
                    </w:rPr>
                    <w:t>3</w:t>
                  </w:r>
                  <w:r w:rsidR="00A90EAC">
                    <w:rPr>
                      <w:rStyle w:val="WartowskanikaZnak"/>
                      <w:lang w:val="en-US"/>
                    </w:rPr>
                    <w:t>.</w:t>
                  </w:r>
                  <w:r w:rsidR="00A95948">
                    <w:rPr>
                      <w:rStyle w:val="WartowskanikaZnak"/>
                      <w:lang w:val="en-US"/>
                    </w:rPr>
                    <w:t>0</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803B4C">
        <w:rPr>
          <w:lang w:val="en-GB"/>
        </w:rPr>
        <w:t xml:space="preserve">Average gross wages and salaries in the enterprise sector in October 2022 compared to October 2021 </w:t>
      </w:r>
      <w:r w:rsidR="00803B4C" w:rsidRPr="0062060F">
        <w:rPr>
          <w:lang w:val="en-GB"/>
        </w:rPr>
        <w:t xml:space="preserve">were higher by </w:t>
      </w:r>
      <w:r w:rsidR="00803B4C">
        <w:rPr>
          <w:lang w:val="en-GB"/>
        </w:rPr>
        <w:t>13.0</w:t>
      </w:r>
      <w:r w:rsidR="00803B4C" w:rsidRPr="0062060F">
        <w:rPr>
          <w:lang w:val="en-GB"/>
        </w:rPr>
        <w:t xml:space="preserve">% y/y and amounted to </w:t>
      </w:r>
      <w:r w:rsidR="00803B4C">
        <w:rPr>
          <w:lang w:val="en-GB"/>
        </w:rPr>
        <w:t xml:space="preserve">6687.92 </w:t>
      </w:r>
      <w:r w:rsidR="00803B4C" w:rsidRPr="0062060F">
        <w:rPr>
          <w:lang w:val="en-GB"/>
        </w:rPr>
        <w:t>PLN</w:t>
      </w:r>
      <w:r w:rsidR="00803B4C">
        <w:rPr>
          <w:lang w:val="en-GB"/>
        </w:rPr>
        <w:t>. In regard to September 2022 average gross wages remained at a similar level</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8A3906" w:rsidP="009166F3">
      <w:pPr>
        <w:pStyle w:val="Nagwek1"/>
        <w:spacing w:before="120"/>
        <w:rPr>
          <w:rFonts w:ascii="Fira Sans" w:hAnsi="Fira Sans"/>
          <w:b/>
          <w:szCs w:val="19"/>
          <w:lang w:val="en-US"/>
        </w:rPr>
      </w:pPr>
      <w:r>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4.4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 xml:space="preserve">with </w:t>
      </w:r>
      <w:r w:rsidR="00853698" w:rsidRPr="001F63A4">
        <w:rPr>
          <w:rFonts w:eastAsia="Calibri"/>
          <w:b/>
          <w:shd w:val="clear" w:color="auto" w:fill="FFFFFF"/>
          <w:lang w:val="en-GB"/>
        </w:rPr>
        <w:t xml:space="preserve">2 </w:t>
      </w:r>
      <w:r w:rsidR="00853698">
        <w:rPr>
          <w:rFonts w:eastAsia="Calibri"/>
          <w:b/>
          <w:shd w:val="clear" w:color="auto" w:fill="FFFFFF"/>
          <w:lang w:val="en-GB"/>
        </w:rPr>
        <w:t xml:space="preserve">with </w:t>
      </w:r>
      <w:r w:rsidR="00853698" w:rsidRPr="0058098F">
        <w:rPr>
          <w:rStyle w:val="tlid-translation"/>
          <w:b/>
          <w:lang w:val="en-GB"/>
        </w:rPr>
        <w:t>the number of employed persons 10 or more people</w:t>
      </w:r>
      <w:r w:rsidR="00853698">
        <w:rPr>
          <w:rFonts w:eastAsia="Calibri"/>
          <w:b/>
          <w:shd w:val="clear" w:color="auto" w:fill="FFFFFF"/>
          <w:lang w:val="en-GB"/>
        </w:rPr>
        <w:t>.</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8D5058">
        <w:rPr>
          <w:rFonts w:eastAsia="Times New Roman" w:cs="Times New Roman"/>
          <w:b/>
          <w:bCs/>
          <w:color w:val="000000" w:themeColor="text1"/>
          <w:szCs w:val="19"/>
          <w:lang w:val="en-GB" w:eastAsia="pl-PL"/>
        </w:rPr>
        <w:t>October</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803B4C"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10</w:t>
            </w:r>
            <w:r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Pr="0062060F">
              <w:rPr>
                <w:rFonts w:ascii="Fira Sans" w:hAnsi="Fira Sans" w:cs="Arial"/>
                <w:color w:val="000000"/>
                <w:sz w:val="16"/>
                <w:szCs w:val="16"/>
                <w:lang w:val="en-GB"/>
              </w:rPr>
              <w:t>–</w:t>
            </w:r>
            <w:r>
              <w:rPr>
                <w:rFonts w:ascii="Fira Sans" w:hAnsi="Fira Sans" w:cs="Arial"/>
                <w:color w:val="000000"/>
                <w:sz w:val="16"/>
                <w:szCs w:val="16"/>
                <w:lang w:val="en-GB"/>
              </w:rPr>
              <w:t>10</w:t>
            </w:r>
            <w:r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803B4C"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 xml:space="preserve">09 </w:t>
            </w:r>
            <w:r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Pr="0062060F">
              <w:rPr>
                <w:rFonts w:ascii="Fira Sans" w:hAnsi="Fira Sans" w:cs="Arial"/>
                <w:color w:val="000000"/>
                <w:sz w:val="16"/>
                <w:szCs w:val="16"/>
                <w:lang w:val="en-GB"/>
              </w:rPr>
              <w:t>=</w:t>
            </w:r>
            <w:r>
              <w:rPr>
                <w:rFonts w:ascii="Fira Sans" w:hAnsi="Fira Sans" w:cs="Arial"/>
                <w:color w:val="000000"/>
                <w:sz w:val="16"/>
                <w:szCs w:val="16"/>
                <w:lang w:val="en-GB"/>
              </w:rPr>
              <w:br/>
              <w:t>=</w:t>
            </w:r>
            <w:r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 xml:space="preserve">10 </w:t>
            </w:r>
            <w:r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Pr="0062060F">
              <w:rPr>
                <w:rFonts w:ascii="Fira Sans" w:hAnsi="Fira Sans" w:cs="Arial"/>
                <w:color w:val="000000"/>
                <w:sz w:val="16"/>
                <w:szCs w:val="16"/>
                <w:lang w:val="en-GB"/>
              </w:rPr>
              <w:t>=</w:t>
            </w:r>
            <w:r>
              <w:rPr>
                <w:rFonts w:ascii="Fira Sans" w:hAnsi="Fira Sans" w:cs="Arial"/>
                <w:color w:val="000000"/>
                <w:sz w:val="16"/>
                <w:szCs w:val="16"/>
                <w:lang w:val="en-GB"/>
              </w:rPr>
              <w:br/>
              <w:t>=1</w:t>
            </w:r>
            <w:r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803B4C" w:rsidRPr="0062060F" w:rsidRDefault="00803B4C" w:rsidP="00803B4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Pr="0062060F">
              <w:rPr>
                <w:rFonts w:ascii="Fira Sans" w:hAnsi="Fira Sans" w:cs="Arial"/>
                <w:color w:val="000000"/>
                <w:sz w:val="16"/>
                <w:szCs w:val="16"/>
                <w:lang w:val="en-GB"/>
              </w:rPr>
              <w:t>–</w:t>
            </w:r>
            <w:r>
              <w:rPr>
                <w:rFonts w:ascii="Fira Sans" w:hAnsi="Fira Sans" w:cs="Arial"/>
                <w:color w:val="000000"/>
                <w:sz w:val="16"/>
                <w:szCs w:val="16"/>
                <w:lang w:val="en-GB"/>
              </w:rPr>
              <w:t xml:space="preserve">10 </w:t>
            </w:r>
            <w:r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Pr="0062060F">
              <w:rPr>
                <w:rFonts w:ascii="Fira Sans" w:hAnsi="Fira Sans" w:cs="Arial"/>
                <w:color w:val="000000"/>
                <w:sz w:val="16"/>
                <w:szCs w:val="16"/>
                <w:lang w:val="en-GB"/>
              </w:rPr>
              <w:t>=</w:t>
            </w:r>
            <w:r>
              <w:rPr>
                <w:rFonts w:ascii="Fira Sans" w:hAnsi="Fira Sans" w:cs="Arial"/>
                <w:color w:val="000000"/>
                <w:sz w:val="16"/>
                <w:szCs w:val="16"/>
                <w:lang w:val="en-GB"/>
              </w:rPr>
              <w:br/>
              <w:t>=</w:t>
            </w:r>
            <w:r w:rsidRPr="0062060F">
              <w:rPr>
                <w:rFonts w:ascii="Fira Sans" w:hAnsi="Fira Sans" w:cs="Arial"/>
                <w:color w:val="000000"/>
                <w:sz w:val="16"/>
                <w:szCs w:val="16"/>
                <w:lang w:val="en-GB"/>
              </w:rPr>
              <w:t>100</w:t>
            </w:r>
          </w:p>
        </w:tc>
      </w:tr>
      <w:tr w:rsidR="00803B4C"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803B4C" w:rsidRPr="0062060F" w:rsidRDefault="00803B4C" w:rsidP="00803B4C">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6500.9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803B4C" w:rsidRPr="002E7CC3"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100.1</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c>
          <w:tcPr>
            <w:tcW w:w="1276" w:type="dxa"/>
            <w:tcBorders>
              <w:top w:val="single" w:sz="12" w:space="0" w:color="001D77"/>
              <w:left w:val="single" w:sz="4" w:space="0" w:color="001D77"/>
              <w:bottom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6500.9</w:t>
            </w:r>
          </w:p>
        </w:tc>
        <w:tc>
          <w:tcPr>
            <w:tcW w:w="1134" w:type="dxa"/>
            <w:tcBorders>
              <w:top w:val="single" w:sz="12" w:space="0" w:color="001D77"/>
              <w:left w:val="single" w:sz="4" w:space="0" w:color="001D77"/>
              <w:bottom w:val="single" w:sz="4" w:space="0" w:color="001D77"/>
            </w:tcBorders>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102.5</w:t>
            </w:r>
          </w:p>
        </w:tc>
      </w:tr>
      <w:tr w:rsidR="00803B4C"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6687.92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113.0</w:t>
            </w:r>
          </w:p>
        </w:tc>
        <w:tc>
          <w:tcPr>
            <w:tcW w:w="1276" w:type="dxa"/>
            <w:tcBorders>
              <w:top w:val="single" w:sz="4" w:space="0" w:color="001D77"/>
              <w:left w:val="single" w:sz="4" w:space="0" w:color="001D77"/>
              <w:bottom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6564.40</w:t>
            </w:r>
          </w:p>
        </w:tc>
        <w:tc>
          <w:tcPr>
            <w:tcW w:w="1134" w:type="dxa"/>
            <w:tcBorders>
              <w:top w:val="single" w:sz="4" w:space="0" w:color="001D77"/>
              <w:left w:val="single" w:sz="4" w:space="0" w:color="001D77"/>
              <w:bottom w:val="single" w:sz="4" w:space="0" w:color="001D77"/>
            </w:tcBorders>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113.2</w:t>
            </w:r>
          </w:p>
        </w:tc>
      </w:tr>
      <w:tr w:rsidR="00803B4C"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803B4C" w:rsidRPr="0062060F" w:rsidRDefault="00803B4C" w:rsidP="00803B4C">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6687.75</w:t>
            </w:r>
          </w:p>
        </w:tc>
        <w:tc>
          <w:tcPr>
            <w:tcW w:w="1134" w:type="dxa"/>
            <w:tcBorders>
              <w:top w:val="single" w:sz="4" w:space="0" w:color="001D77"/>
              <w:left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100.0</w:t>
            </w:r>
          </w:p>
        </w:tc>
        <w:tc>
          <w:tcPr>
            <w:tcW w:w="1134" w:type="dxa"/>
            <w:tcBorders>
              <w:top w:val="single" w:sz="4" w:space="0" w:color="001D77"/>
              <w:left w:val="single" w:sz="4" w:space="0" w:color="001D77"/>
              <w:righ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113.0</w:t>
            </w:r>
          </w:p>
        </w:tc>
        <w:tc>
          <w:tcPr>
            <w:tcW w:w="1276" w:type="dxa"/>
            <w:tcBorders>
              <w:top w:val="single" w:sz="4" w:space="0" w:color="001D77"/>
              <w:left w:val="single" w:sz="4" w:space="0" w:color="001D77"/>
            </w:tcBorders>
            <w:shd w:val="clear" w:color="auto" w:fill="auto"/>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6563.29</w:t>
            </w:r>
          </w:p>
        </w:tc>
        <w:tc>
          <w:tcPr>
            <w:tcW w:w="1134" w:type="dxa"/>
            <w:tcBorders>
              <w:top w:val="single" w:sz="4" w:space="0" w:color="001D77"/>
              <w:left w:val="single" w:sz="4" w:space="0" w:color="001D77"/>
            </w:tcBorders>
            <w:vAlign w:val="center"/>
          </w:tcPr>
          <w:p w:rsidR="00803B4C" w:rsidRPr="00CC690C" w:rsidRDefault="00803B4C" w:rsidP="00803B4C">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113.2</w:t>
            </w:r>
          </w:p>
        </w:tc>
      </w:tr>
    </w:tbl>
    <w:p w:rsidR="00760370" w:rsidRDefault="00760370" w:rsidP="0016640E">
      <w:pPr>
        <w:spacing w:line="288" w:lineRule="auto"/>
        <w:rPr>
          <w:rFonts w:eastAsia="Calibri"/>
          <w:shd w:val="clear" w:color="auto" w:fill="FFFFFF"/>
          <w:lang w:val="en-GB"/>
        </w:rPr>
      </w:pPr>
    </w:p>
    <w:p w:rsidR="00646D9D" w:rsidRDefault="00646D9D" w:rsidP="00646D9D">
      <w:pPr>
        <w:spacing w:line="288" w:lineRule="auto"/>
        <w:rPr>
          <w:rFonts w:eastAsia="Calibri"/>
          <w:shd w:val="clear" w:color="auto" w:fill="FFFFFF"/>
          <w:lang w:val="en-GB"/>
        </w:rPr>
      </w:pPr>
      <w:r>
        <w:rPr>
          <w:rFonts w:eastAsia="Calibri"/>
          <w:shd w:val="clear" w:color="auto" w:fill="FFFFFF"/>
          <w:lang w:val="en-GB"/>
        </w:rPr>
        <w:lastRenderedPageBreak/>
        <w:t>In October in comparison to September 2022</w:t>
      </w:r>
      <w:r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Pr>
          <w:rFonts w:eastAsia="Calibri"/>
          <w:shd w:val="clear" w:color="auto" w:fill="FFFFFF"/>
          <w:lang w:val="en-GB"/>
        </w:rPr>
        <w:t>increased minimally (by 0.1%)</w:t>
      </w:r>
      <w:r w:rsidR="00627AEE">
        <w:rPr>
          <w:rFonts w:eastAsia="Calibri"/>
          <w:shd w:val="clear" w:color="auto" w:fill="FFFFFF"/>
          <w:lang w:val="en-GB"/>
        </w:rPr>
        <w:t xml:space="preserve">. </w:t>
      </w:r>
      <w:r>
        <w:rPr>
          <w:rFonts w:eastAsia="Calibri"/>
          <w:shd w:val="clear" w:color="auto" w:fill="FFFFFF"/>
          <w:lang w:val="en-GB"/>
        </w:rPr>
        <w:t xml:space="preserve">The slight </w:t>
      </w:r>
      <w:r w:rsidR="00627AEE">
        <w:rPr>
          <w:rFonts w:eastAsia="Calibri"/>
          <w:shd w:val="clear" w:color="auto" w:fill="FFFFFF"/>
          <w:lang w:val="en-GB"/>
        </w:rPr>
        <w:t>growth</w:t>
      </w:r>
      <w:r w:rsidRPr="0036261F">
        <w:rPr>
          <w:rFonts w:eastAsia="Calibri"/>
          <w:shd w:val="clear" w:color="auto" w:fill="FFFFFF"/>
          <w:lang w:val="en-GB"/>
        </w:rPr>
        <w:t xml:space="preserve"> in average </w:t>
      </w:r>
      <w:r>
        <w:rPr>
          <w:rFonts w:eastAsia="Calibri"/>
          <w:shd w:val="clear" w:color="auto" w:fill="FFFFFF"/>
          <w:lang w:val="en-GB"/>
        </w:rPr>
        <w:t xml:space="preserve">paid </w:t>
      </w:r>
      <w:r w:rsidRPr="0036261F">
        <w:rPr>
          <w:rFonts w:eastAsia="Calibri"/>
          <w:shd w:val="clear" w:color="auto" w:fill="FFFFFF"/>
          <w:lang w:val="en-GB"/>
        </w:rPr>
        <w:t xml:space="preserve">employment in </w:t>
      </w:r>
      <w:r>
        <w:rPr>
          <w:rFonts w:eastAsia="Calibri"/>
          <w:shd w:val="clear" w:color="auto" w:fill="FFFFFF"/>
          <w:lang w:val="en-GB"/>
        </w:rPr>
        <w:t xml:space="preserve">October </w:t>
      </w:r>
      <w:r w:rsidRPr="0036261F">
        <w:rPr>
          <w:rFonts w:eastAsia="Calibri"/>
          <w:shd w:val="clear" w:color="auto" w:fill="FFFFFF"/>
          <w:lang w:val="en-GB"/>
        </w:rPr>
        <w:t xml:space="preserve">2022 was </w:t>
      </w:r>
      <w:r>
        <w:rPr>
          <w:rFonts w:eastAsia="Calibri"/>
          <w:shd w:val="clear" w:color="auto" w:fill="FFFFFF"/>
          <w:lang w:val="en-GB"/>
        </w:rPr>
        <w:t xml:space="preserve">caused among others by </w:t>
      </w:r>
      <w:r w:rsidR="00627AEE" w:rsidRPr="00E90F48">
        <w:rPr>
          <w:rFonts w:eastAsia="Calibri"/>
          <w:shd w:val="clear" w:color="auto" w:fill="FFFFFF"/>
          <w:lang w:val="en-GB"/>
        </w:rPr>
        <w:t xml:space="preserve">admissions </w:t>
      </w:r>
      <w:r>
        <w:rPr>
          <w:rFonts w:eastAsia="Calibri"/>
          <w:shd w:val="clear" w:color="auto" w:fill="FFFFFF"/>
          <w:lang w:val="en-GB"/>
        </w:rPr>
        <w:t>in units</w:t>
      </w:r>
      <w:r>
        <w:rPr>
          <w:rStyle w:val="tlid-translation"/>
          <w:lang w:val="en-US"/>
        </w:rPr>
        <w:t>.</w:t>
      </w:r>
      <w:r w:rsidRPr="00E90F48">
        <w:rPr>
          <w:rFonts w:eastAsia="Calibri"/>
          <w:shd w:val="clear" w:color="auto" w:fill="FFFFFF"/>
          <w:lang w:val="en-GB"/>
        </w:rPr>
        <w:t xml:space="preserve"> </w:t>
      </w:r>
    </w:p>
    <w:p w:rsidR="00646D9D" w:rsidRDefault="00646D9D" w:rsidP="00646D9D">
      <w:pPr>
        <w:spacing w:line="288" w:lineRule="auto"/>
        <w:rPr>
          <w:rStyle w:val="jlqj4b"/>
          <w:lang w:val="en-GB"/>
        </w:rPr>
      </w:pPr>
      <w:r>
        <w:rPr>
          <w:rFonts w:eastAsia="Calibri"/>
          <w:shd w:val="clear" w:color="auto" w:fill="FFFFFF"/>
          <w:lang w:val="en-GB"/>
        </w:rPr>
        <w:t>Comparing October 2022 to October</w:t>
      </w:r>
      <w:r w:rsidRPr="00E90F48">
        <w:rPr>
          <w:rFonts w:eastAsia="Calibri"/>
          <w:shd w:val="clear" w:color="auto" w:fill="FFFFFF"/>
          <w:lang w:val="en-GB"/>
        </w:rPr>
        <w:t xml:space="preserve"> 2021, average </w:t>
      </w:r>
      <w:r>
        <w:rPr>
          <w:rFonts w:eastAsia="Calibri"/>
          <w:shd w:val="clear" w:color="auto" w:fill="FFFFFF"/>
          <w:lang w:val="en-GB"/>
        </w:rPr>
        <w:t xml:space="preserve">paid </w:t>
      </w:r>
      <w:r w:rsidRPr="00E90F48">
        <w:rPr>
          <w:rFonts w:eastAsia="Calibri"/>
          <w:shd w:val="clear" w:color="auto" w:fill="FFFFFF"/>
          <w:lang w:val="en-GB"/>
        </w:rPr>
        <w:t>employment in the enterprise sector increased by 2</w:t>
      </w:r>
      <w:r>
        <w:rPr>
          <w:rFonts w:eastAsia="Calibri"/>
          <w:shd w:val="clear" w:color="auto" w:fill="FFFFFF"/>
          <w:lang w:val="en-GB"/>
        </w:rPr>
        <w:t>.4</w:t>
      </w:r>
      <w:r w:rsidRPr="00E90F48">
        <w:rPr>
          <w:rFonts w:eastAsia="Calibri"/>
          <w:shd w:val="clear" w:color="auto" w:fill="FFFFFF"/>
          <w:lang w:val="en-GB"/>
        </w:rPr>
        <w:t>%, while</w:t>
      </w:r>
      <w:r>
        <w:rPr>
          <w:rFonts w:eastAsia="Calibri"/>
          <w:shd w:val="clear" w:color="auto" w:fill="FFFFFF"/>
          <w:lang w:val="en-GB"/>
        </w:rPr>
        <w:t xml:space="preserve"> in October 2021 </w:t>
      </w:r>
      <w:r>
        <w:rPr>
          <w:rStyle w:val="jlqj4b"/>
          <w:lang w:val="en-GB"/>
        </w:rPr>
        <w:t>its noted y/y increase was lower and amounted to</w:t>
      </w:r>
      <w:r>
        <w:rPr>
          <w:rFonts w:eastAsia="Calibri"/>
          <w:shd w:val="clear" w:color="auto" w:fill="FFFFFF"/>
          <w:lang w:val="en-GB"/>
        </w:rPr>
        <w:t xml:space="preserve"> 0.5</w:t>
      </w:r>
      <w:r w:rsidRPr="00E90F48">
        <w:rPr>
          <w:rFonts w:eastAsia="Calibri"/>
          <w:shd w:val="clear" w:color="auto" w:fill="FFFFFF"/>
          <w:lang w:val="en-GB"/>
        </w:rPr>
        <w:t>%.</w:t>
      </w:r>
    </w:p>
    <w:p w:rsidR="00331D96" w:rsidRDefault="006D6B8F" w:rsidP="00331D96">
      <w:pPr>
        <w:pStyle w:val="Tytuwykresu0"/>
        <w:spacing w:before="240" w:line="240" w:lineRule="exact"/>
        <w:rPr>
          <w:lang w:val="en-US"/>
        </w:rPr>
      </w:pPr>
      <w:r w:rsidRPr="00043EEC">
        <w:rPr>
          <w:lang w:val="en-US"/>
        </w:rPr>
        <w:t xml:space="preserve">Chart 1. </w:t>
      </w:r>
      <w:r w:rsidRPr="005772BF">
        <w:rPr>
          <w:lang w:val="en-US"/>
        </w:rPr>
        <w:t xml:space="preserve">Average paid employment in the enterprise sector </w:t>
      </w:r>
      <w:r w:rsidR="00331D96">
        <w:drawing>
          <wp:anchor distT="0" distB="0" distL="114300" distR="114300" simplePos="0" relativeHeight="251776000" behindDoc="0" locked="1" layoutInCell="1" allowOverlap="1">
            <wp:simplePos x="0" y="0"/>
            <wp:positionH relativeFrom="column">
              <wp:posOffset>0</wp:posOffset>
            </wp:positionH>
            <wp:positionV relativeFrom="paragraph">
              <wp:posOffset>358775</wp:posOffset>
            </wp:positionV>
            <wp:extent cx="5122545" cy="3725545"/>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646D9D" w:rsidRDefault="00646D9D" w:rsidP="00331D96">
      <w:pPr>
        <w:pStyle w:val="Tytuwykresu0"/>
        <w:spacing w:before="240" w:line="288" w:lineRule="auto"/>
        <w:rPr>
          <w:rFonts w:ascii="Fira Sans" w:hAnsi="Fira Sans"/>
          <w:b w:val="0"/>
          <w:bCs w:val="0"/>
          <w:noProof w:val="0"/>
          <w:szCs w:val="19"/>
          <w:lang w:val="en-US"/>
        </w:rPr>
      </w:pPr>
      <w:r w:rsidRPr="006540F5">
        <w:rPr>
          <w:rFonts w:ascii="Fira Sans" w:hAnsi="Fira Sans"/>
          <w:b w:val="0"/>
          <w:bCs w:val="0"/>
          <w:noProof w:val="0"/>
          <w:szCs w:val="19"/>
          <w:lang w:val="en-US"/>
        </w:rPr>
        <w:t>D</w:t>
      </w:r>
      <w:r w:rsidRPr="009140DF">
        <w:rPr>
          <w:rFonts w:ascii="Fira Sans" w:hAnsi="Fira Sans"/>
          <w:b w:val="0"/>
          <w:bCs w:val="0"/>
          <w:noProof w:val="0"/>
          <w:szCs w:val="19"/>
          <w:lang w:val="en-US"/>
        </w:rPr>
        <w:t>ue to the epidemic situation and its impact on the labour market, in 2020 there were signi</w:t>
      </w:r>
      <w:r w:rsidR="008679F5">
        <w:rPr>
          <w:rFonts w:ascii="Fira Sans" w:hAnsi="Fira Sans"/>
          <w:b w:val="0"/>
          <w:bCs w:val="0"/>
          <w:noProof w:val="0"/>
          <w:szCs w:val="19"/>
          <w:lang w:val="en-US"/>
        </w:rPr>
        <w:t>-</w:t>
      </w:r>
      <w:r w:rsidR="008679F5">
        <w:rPr>
          <w:rFonts w:ascii="Fira Sans" w:hAnsi="Fira Sans"/>
          <w:b w:val="0"/>
          <w:bCs w:val="0"/>
          <w:noProof w:val="0"/>
          <w:szCs w:val="19"/>
          <w:lang w:val="en-US"/>
        </w:rPr>
        <w:br/>
      </w:r>
      <w:r w:rsidRPr="009140DF">
        <w:rPr>
          <w:rFonts w:ascii="Fira Sans" w:hAnsi="Fira Sans"/>
          <w:b w:val="0"/>
          <w:bCs w:val="0"/>
          <w:noProof w:val="0"/>
          <w:szCs w:val="19"/>
          <w:lang w:val="en-US"/>
        </w:rPr>
        <w:t>ficant decreases in average</w:t>
      </w:r>
      <w:r>
        <w:rPr>
          <w:rFonts w:ascii="Fira Sans" w:hAnsi="Fira Sans"/>
          <w:b w:val="0"/>
          <w:bCs w:val="0"/>
          <w:noProof w:val="0"/>
          <w:szCs w:val="19"/>
          <w:lang w:val="en-US"/>
        </w:rPr>
        <w:t xml:space="preserve"> paid</w:t>
      </w:r>
      <w:r w:rsidRPr="009140DF">
        <w:rPr>
          <w:rFonts w:ascii="Fira Sans" w:hAnsi="Fira Sans"/>
          <w:b w:val="0"/>
          <w:bCs w:val="0"/>
          <w:noProof w:val="0"/>
          <w:szCs w:val="19"/>
          <w:lang w:val="en-US"/>
        </w:rPr>
        <w:t xml:space="preserve"> employment in the enterprise sector. The following year, average </w:t>
      </w:r>
      <w:r w:rsidR="00EC064E">
        <w:rPr>
          <w:rFonts w:ascii="Fira Sans" w:hAnsi="Fira Sans"/>
          <w:b w:val="0"/>
          <w:bCs w:val="0"/>
          <w:noProof w:val="0"/>
          <w:szCs w:val="19"/>
          <w:lang w:val="en-US"/>
        </w:rPr>
        <w:t>paid employment fluctuated</w:t>
      </w:r>
      <w:r>
        <w:rPr>
          <w:rFonts w:ascii="Fira Sans" w:hAnsi="Fira Sans"/>
          <w:b w:val="0"/>
          <w:bCs w:val="0"/>
          <w:noProof w:val="0"/>
          <w:szCs w:val="19"/>
          <w:lang w:val="en-US"/>
        </w:rPr>
        <w:t xml:space="preserve"> </w:t>
      </w:r>
      <w:r w:rsidRPr="009140DF">
        <w:rPr>
          <w:rFonts w:ascii="Fira Sans" w:hAnsi="Fira Sans"/>
          <w:b w:val="0"/>
          <w:bCs w:val="0"/>
          <w:noProof w:val="0"/>
          <w:szCs w:val="19"/>
          <w:lang w:val="en-US"/>
        </w:rPr>
        <w:t xml:space="preserve">slightly, but it was only in 2022 </w:t>
      </w:r>
      <w:r>
        <w:rPr>
          <w:rFonts w:ascii="Fira Sans" w:hAnsi="Fira Sans"/>
          <w:b w:val="0"/>
          <w:bCs w:val="0"/>
          <w:noProof w:val="0"/>
          <w:szCs w:val="19"/>
          <w:lang w:val="en-US"/>
        </w:rPr>
        <w:t>that it returned to the values not</w:t>
      </w:r>
      <w:r w:rsidRPr="009140DF">
        <w:rPr>
          <w:rFonts w:ascii="Fira Sans" w:hAnsi="Fira Sans"/>
          <w:b w:val="0"/>
          <w:bCs w:val="0"/>
          <w:noProof w:val="0"/>
          <w:szCs w:val="19"/>
          <w:lang w:val="en-US"/>
        </w:rPr>
        <w:t xml:space="preserve">ed at the beginning of </w:t>
      </w:r>
      <w:r>
        <w:rPr>
          <w:rFonts w:ascii="Fira Sans" w:hAnsi="Fira Sans"/>
          <w:b w:val="0"/>
          <w:bCs w:val="0"/>
          <w:noProof w:val="0"/>
          <w:szCs w:val="19"/>
          <w:lang w:val="en-US"/>
        </w:rPr>
        <w:t>2020. In Octo</w:t>
      </w:r>
      <w:r w:rsidRPr="009140DF">
        <w:rPr>
          <w:rFonts w:ascii="Fira Sans" w:hAnsi="Fira Sans"/>
          <w:b w:val="0"/>
          <w:bCs w:val="0"/>
          <w:noProof w:val="0"/>
          <w:szCs w:val="19"/>
          <w:lang w:val="en-US"/>
        </w:rPr>
        <w:t xml:space="preserve">ber 2022, compared to </w:t>
      </w:r>
      <w:r>
        <w:rPr>
          <w:rFonts w:ascii="Fira Sans" w:hAnsi="Fira Sans"/>
          <w:b w:val="0"/>
          <w:bCs w:val="0"/>
          <w:noProof w:val="0"/>
          <w:szCs w:val="19"/>
          <w:lang w:val="en-US"/>
        </w:rPr>
        <w:t xml:space="preserve">September 2022, the average </w:t>
      </w:r>
      <w:r w:rsidR="00EC064E">
        <w:rPr>
          <w:rFonts w:ascii="Fira Sans" w:hAnsi="Fira Sans"/>
          <w:b w:val="0"/>
          <w:bCs w:val="0"/>
          <w:noProof w:val="0"/>
          <w:szCs w:val="19"/>
          <w:lang w:val="en-US"/>
        </w:rPr>
        <w:t xml:space="preserve">paid </w:t>
      </w:r>
      <w:r>
        <w:rPr>
          <w:rFonts w:ascii="Fira Sans" w:hAnsi="Fira Sans"/>
          <w:b w:val="0"/>
          <w:bCs w:val="0"/>
          <w:noProof w:val="0"/>
          <w:szCs w:val="19"/>
          <w:lang w:val="en-US"/>
        </w:rPr>
        <w:t>employment in</w:t>
      </w:r>
      <w:r w:rsidRPr="009140DF">
        <w:rPr>
          <w:rFonts w:ascii="Fira Sans" w:hAnsi="Fira Sans"/>
          <w:b w:val="0"/>
          <w:bCs w:val="0"/>
          <w:noProof w:val="0"/>
          <w:szCs w:val="19"/>
          <w:lang w:val="en-US"/>
        </w:rPr>
        <w:t xml:space="preserve">creased by approx. </w:t>
      </w:r>
      <w:r w:rsidR="00EC064E">
        <w:rPr>
          <w:rFonts w:ascii="Fira Sans" w:hAnsi="Fira Sans"/>
          <w:b w:val="0"/>
          <w:bCs w:val="0"/>
          <w:noProof w:val="0"/>
          <w:szCs w:val="19"/>
          <w:lang w:val="en-US"/>
        </w:rPr>
        <w:t>7 thousand</w:t>
      </w:r>
      <w:r>
        <w:rPr>
          <w:rFonts w:ascii="Fira Sans" w:hAnsi="Fira Sans"/>
          <w:b w:val="0"/>
          <w:bCs w:val="0"/>
          <w:noProof w:val="0"/>
          <w:szCs w:val="19"/>
          <w:lang w:val="en-US"/>
        </w:rPr>
        <w:t xml:space="preserve"> full-time equivalents.</w:t>
      </w:r>
    </w:p>
    <w:p w:rsidR="00627AEE" w:rsidRPr="006D7F87" w:rsidRDefault="00F25342" w:rsidP="00646D9D">
      <w:pPr>
        <w:pStyle w:val="Tytuwykresu0"/>
        <w:spacing w:before="240" w:line="288" w:lineRule="auto"/>
        <w:rPr>
          <w:rStyle w:val="jlqj4b"/>
          <w:rFonts w:ascii="Fira Sans" w:hAnsi="Fira Sans"/>
          <w:b w:val="0"/>
          <w:bCs w:val="0"/>
          <w:noProof w:val="0"/>
          <w:szCs w:val="19"/>
          <w:lang w:val="en-US"/>
        </w:rPr>
      </w:pPr>
      <w:r>
        <w:pict>
          <v:shape id="_x0000_s1053" type="#_x0000_t202" alt="Pole tekstowe: In 2022 statutory minimum monthly wage increased to 3010 PLN, i.e. by 7.5% in re-gard to the previous year when it was 2800 PLN " style="position:absolute;margin-left:414.3pt;margin-top:50.95pt;width:135.85pt;height:109.3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 xml:space="preserve">the previous year when it was 2800 PLN </w:t>
                  </w:r>
                  <w:r w:rsidR="00C81173" w:rsidRPr="00C81173">
                    <w:rPr>
                      <w:bCs w:val="0"/>
                      <w:lang w:val="en-US"/>
                    </w:rPr>
                    <w:t>which also affected changes in average monthly wages in the enterprise sector</w:t>
                  </w:r>
                </w:p>
              </w:txbxContent>
            </v:textbox>
            <w10:wrap type="tight"/>
          </v:shape>
        </w:pict>
      </w:r>
      <w:r w:rsidR="00627AEE" w:rsidRPr="00043EEC">
        <w:rPr>
          <w:lang w:val="en-US"/>
        </w:rPr>
        <w:t xml:space="preserve">Chart </w:t>
      </w:r>
      <w:r w:rsidR="00627AEE">
        <w:rPr>
          <w:lang w:val="en-US"/>
        </w:rPr>
        <w:t>2</w:t>
      </w:r>
      <w:r w:rsidR="00627AEE" w:rsidRPr="00043EEC">
        <w:rPr>
          <w:lang w:val="en-US"/>
        </w:rPr>
        <w:t xml:space="preserve">. </w:t>
      </w:r>
      <w:r w:rsidR="00627AEE" w:rsidRPr="005772BF">
        <w:rPr>
          <w:lang w:val="en-US"/>
        </w:rPr>
        <w:t xml:space="preserve">Average </w:t>
      </w:r>
      <w:r w:rsidR="00627AEE">
        <w:rPr>
          <w:lang w:val="en-US"/>
        </w:rPr>
        <w:t>monthly gross wages and salaries in the enterprise sector</w:t>
      </w:r>
      <w:r w:rsidR="00331D96">
        <w:rPr>
          <w:lang w:val="en-US"/>
        </w:rPr>
        <w:t xml:space="preserve"> </w:t>
      </w:r>
      <w:bookmarkStart w:id="0" w:name="_GoBack"/>
      <w:bookmarkEnd w:id="0"/>
      <w:r w:rsidR="00331D96">
        <w:drawing>
          <wp:anchor distT="0" distB="0" distL="114300" distR="114300" simplePos="0" relativeHeight="251777024" behindDoc="0" locked="1" layoutInCell="1" allowOverlap="1">
            <wp:simplePos x="0" y="0"/>
            <wp:positionH relativeFrom="column">
              <wp:posOffset>0</wp:posOffset>
            </wp:positionH>
            <wp:positionV relativeFrom="paragraph">
              <wp:posOffset>417195</wp:posOffset>
            </wp:positionV>
            <wp:extent cx="5122545" cy="2875915"/>
            <wp:effectExtent l="0" t="0" r="0" b="0"/>
            <wp:wrapTopAndBottom/>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646D9D" w:rsidRDefault="008A3906" w:rsidP="00331D96">
      <w:pPr>
        <w:pStyle w:val="Tytuwykresu0"/>
        <w:spacing w:before="120" w:line="288" w:lineRule="auto"/>
        <w:rPr>
          <w:rStyle w:val="jlqj4b"/>
          <w:rFonts w:ascii="Fira Sans" w:eastAsiaTheme="minorHAnsi" w:hAnsi="Fira Sans" w:cstheme="minorBidi"/>
          <w:b w:val="0"/>
          <w:bCs w:val="0"/>
          <w:noProof w:val="0"/>
          <w:szCs w:val="22"/>
          <w:lang w:val="en-US" w:eastAsia="en-US"/>
        </w:rPr>
      </w:pPr>
      <w:r>
        <w:lastRenderedPageBreak/>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646D9D">
        <w:rPr>
          <w:rStyle w:val="jlqj4b"/>
          <w:rFonts w:ascii="Fira Sans" w:eastAsiaTheme="minorHAnsi" w:hAnsi="Fira Sans" w:cstheme="minorBidi"/>
          <w:b w:val="0"/>
          <w:bCs w:val="0"/>
          <w:noProof w:val="0"/>
          <w:szCs w:val="22"/>
          <w:lang w:val="en-US" w:eastAsia="en-US"/>
        </w:rPr>
        <w:t xml:space="preserve">In </w:t>
      </w:r>
      <w:r w:rsidR="00646D9D" w:rsidRPr="006D7F87">
        <w:rPr>
          <w:rStyle w:val="jlqj4b"/>
          <w:rFonts w:ascii="Fira Sans" w:eastAsiaTheme="minorHAnsi" w:hAnsi="Fira Sans" w:cstheme="minorBidi"/>
          <w:b w:val="0"/>
          <w:bCs w:val="0"/>
          <w:noProof w:val="0"/>
          <w:szCs w:val="22"/>
          <w:lang w:val="en-US" w:eastAsia="en-US"/>
        </w:rPr>
        <w:t xml:space="preserve">October 2022 </w:t>
      </w:r>
      <w:r w:rsidR="00646D9D" w:rsidRPr="006D7F87">
        <w:rPr>
          <w:rStyle w:val="jlqj4b"/>
          <w:rFonts w:ascii="Fira Sans" w:eastAsiaTheme="minorHAnsi" w:hAnsi="Fira Sans" w:cstheme="minorBidi"/>
          <w:bCs w:val="0"/>
          <w:noProof w:val="0"/>
          <w:szCs w:val="22"/>
          <w:lang w:val="en-US" w:eastAsia="en-US"/>
        </w:rPr>
        <w:t>average gross wages and salaries in the enterprise sector</w:t>
      </w:r>
      <w:r w:rsidR="00646D9D" w:rsidRPr="006D7F87">
        <w:rPr>
          <w:rStyle w:val="jlqj4b"/>
          <w:rFonts w:ascii="Fira Sans" w:eastAsiaTheme="minorHAnsi" w:hAnsi="Fira Sans" w:cstheme="minorBidi"/>
          <w:b w:val="0"/>
          <w:bCs w:val="0"/>
          <w:noProof w:val="0"/>
          <w:szCs w:val="22"/>
          <w:lang w:val="en-US" w:eastAsia="en-US"/>
        </w:rPr>
        <w:t xml:space="preserve"> </w:t>
      </w:r>
      <w:r w:rsidR="00C04D49">
        <w:rPr>
          <w:rStyle w:val="jlqj4b"/>
          <w:rFonts w:ascii="Fira Sans" w:eastAsiaTheme="minorHAnsi" w:hAnsi="Fira Sans" w:cstheme="minorBidi"/>
          <w:b w:val="0"/>
          <w:bCs w:val="0"/>
          <w:noProof w:val="0"/>
          <w:szCs w:val="22"/>
          <w:lang w:val="en-US" w:eastAsia="en-US"/>
        </w:rPr>
        <w:t>remained at the salary level</w:t>
      </w:r>
      <w:r w:rsidR="00646D9D" w:rsidRPr="006D7F87">
        <w:rPr>
          <w:rStyle w:val="jlqj4b"/>
          <w:rFonts w:ascii="Fira Sans" w:eastAsiaTheme="minorHAnsi" w:hAnsi="Fira Sans" w:cstheme="minorBidi"/>
          <w:b w:val="0"/>
          <w:bCs w:val="0"/>
          <w:noProof w:val="0"/>
          <w:szCs w:val="22"/>
          <w:lang w:val="en-US" w:eastAsia="en-US"/>
        </w:rPr>
        <w:t xml:space="preserve"> </w:t>
      </w:r>
      <w:r w:rsidR="00C04D49">
        <w:rPr>
          <w:rStyle w:val="jlqj4b"/>
          <w:rFonts w:ascii="Fira Sans" w:eastAsiaTheme="minorHAnsi" w:hAnsi="Fira Sans" w:cstheme="minorBidi"/>
          <w:b w:val="0"/>
          <w:bCs w:val="0"/>
          <w:noProof w:val="0"/>
          <w:szCs w:val="22"/>
          <w:lang w:val="en-US" w:eastAsia="en-US"/>
        </w:rPr>
        <w:t xml:space="preserve">recorded </w:t>
      </w:r>
      <w:r w:rsidR="00646D9D" w:rsidRPr="006D7F87">
        <w:rPr>
          <w:rStyle w:val="jlqj4b"/>
          <w:rFonts w:ascii="Fira Sans" w:eastAsiaTheme="minorHAnsi" w:hAnsi="Fira Sans" w:cstheme="minorBidi"/>
          <w:b w:val="0"/>
          <w:bCs w:val="0"/>
          <w:noProof w:val="0"/>
          <w:szCs w:val="22"/>
          <w:lang w:val="en-US" w:eastAsia="en-US"/>
        </w:rPr>
        <w:t xml:space="preserve">in September 2022, while </w:t>
      </w:r>
      <w:r w:rsidR="00D71DCB">
        <w:rPr>
          <w:rStyle w:val="jlqj4b"/>
          <w:rFonts w:ascii="Fira Sans" w:eastAsiaTheme="minorHAnsi" w:hAnsi="Fira Sans" w:cstheme="minorBidi"/>
          <w:b w:val="0"/>
          <w:bCs w:val="0"/>
          <w:noProof w:val="0"/>
          <w:szCs w:val="22"/>
          <w:lang w:val="en-US" w:eastAsia="en-US"/>
        </w:rPr>
        <w:t>in October 2021 compared to September 2021 wages increased by 1.3 %.</w:t>
      </w:r>
    </w:p>
    <w:p w:rsidR="000232E9" w:rsidRDefault="00940B6F" w:rsidP="00331D96">
      <w:pPr>
        <w:pStyle w:val="Tytuwykresu0"/>
        <w:spacing w:before="120" w:line="288" w:lineRule="auto"/>
        <w:rPr>
          <w:lang w:val="en-US"/>
        </w:rPr>
      </w:pPr>
      <w:r w:rsidRPr="00646D9D">
        <w:rPr>
          <w:rStyle w:val="jlqj4b"/>
          <w:rFonts w:ascii="Fira Sans" w:eastAsiaTheme="minorHAnsi" w:hAnsi="Fira Sans" w:cstheme="minorBidi"/>
          <w:b w:val="0"/>
          <w:bCs w:val="0"/>
          <w:noProof w:val="0"/>
          <w:szCs w:val="22"/>
          <w:lang w:val="en-US" w:eastAsia="en-US"/>
        </w:rPr>
        <w:t xml:space="preserve">Annually </w:t>
      </w:r>
      <w:r w:rsidR="00646D9D" w:rsidRPr="006D7F87">
        <w:rPr>
          <w:rStyle w:val="jlqj4b"/>
          <w:rFonts w:ascii="Fira Sans" w:eastAsiaTheme="minorHAnsi" w:hAnsi="Fira Sans" w:cstheme="minorBidi"/>
          <w:b w:val="0"/>
          <w:bCs w:val="0"/>
          <w:noProof w:val="0"/>
          <w:szCs w:val="22"/>
          <w:lang w:val="en-US" w:eastAsia="en-US"/>
        </w:rPr>
        <w:t>(October 2022 to October 2021), average gross wages</w:t>
      </w:r>
      <w:r w:rsidR="00646D9D">
        <w:rPr>
          <w:rStyle w:val="jlqj4b"/>
          <w:rFonts w:ascii="Fira Sans" w:eastAsiaTheme="minorHAnsi" w:hAnsi="Fira Sans" w:cstheme="minorBidi"/>
          <w:b w:val="0"/>
          <w:bCs w:val="0"/>
          <w:noProof w:val="0"/>
          <w:szCs w:val="22"/>
          <w:lang w:val="en-US" w:eastAsia="en-US"/>
        </w:rPr>
        <w:t xml:space="preserve"> and salaries increased by 13.0</w:t>
      </w:r>
      <w:r w:rsidR="00646D9D" w:rsidRPr="006D7F87">
        <w:rPr>
          <w:rStyle w:val="jlqj4b"/>
          <w:rFonts w:ascii="Fira Sans" w:eastAsiaTheme="minorHAnsi" w:hAnsi="Fira Sans" w:cstheme="minorBidi"/>
          <w:b w:val="0"/>
          <w:bCs w:val="0"/>
          <w:noProof w:val="0"/>
          <w:szCs w:val="22"/>
          <w:lang w:val="en-US" w:eastAsia="en-US"/>
        </w:rPr>
        <w:t>%. A year before (October 2021 to October 20</w:t>
      </w:r>
      <w:r w:rsidR="00646D9D">
        <w:rPr>
          <w:rStyle w:val="jlqj4b"/>
          <w:rFonts w:ascii="Fira Sans" w:eastAsiaTheme="minorHAnsi" w:hAnsi="Fira Sans" w:cstheme="minorBidi"/>
          <w:b w:val="0"/>
          <w:bCs w:val="0"/>
          <w:noProof w:val="0"/>
          <w:szCs w:val="22"/>
          <w:lang w:val="en-US" w:eastAsia="en-US"/>
        </w:rPr>
        <w:t xml:space="preserve">20), </w:t>
      </w:r>
      <w:r w:rsidR="00D71DCB">
        <w:rPr>
          <w:rStyle w:val="jlqj4b"/>
          <w:rFonts w:ascii="Fira Sans" w:eastAsiaTheme="minorHAnsi" w:hAnsi="Fira Sans" w:cstheme="minorBidi"/>
          <w:b w:val="0"/>
          <w:bCs w:val="0"/>
          <w:noProof w:val="0"/>
          <w:szCs w:val="22"/>
          <w:lang w:val="en-US" w:eastAsia="en-US"/>
        </w:rPr>
        <w:t>the dynamics of growth in average wage was recorded at the level</w:t>
      </w:r>
      <w:r w:rsidR="00646D9D">
        <w:rPr>
          <w:rStyle w:val="jlqj4b"/>
          <w:rFonts w:ascii="Fira Sans" w:eastAsiaTheme="minorHAnsi" w:hAnsi="Fira Sans" w:cstheme="minorBidi"/>
          <w:b w:val="0"/>
          <w:bCs w:val="0"/>
          <w:noProof w:val="0"/>
          <w:szCs w:val="22"/>
          <w:lang w:val="en-US" w:eastAsia="en-US"/>
        </w:rPr>
        <w:t xml:space="preserve"> of 8.4</w:t>
      </w:r>
      <w:r w:rsidR="00D71DCB">
        <w:rPr>
          <w:rStyle w:val="jlqj4b"/>
          <w:rFonts w:ascii="Fira Sans" w:eastAsiaTheme="minorHAnsi" w:hAnsi="Fira Sans" w:cstheme="minorBidi"/>
          <w:b w:val="0"/>
          <w:bCs w:val="0"/>
          <w:noProof w:val="0"/>
          <w:szCs w:val="22"/>
          <w:lang w:val="en-US" w:eastAsia="en-US"/>
        </w:rPr>
        <w:t>%</w:t>
      </w:r>
      <w:r w:rsidR="00646D9D" w:rsidRPr="006D7F87">
        <w:rPr>
          <w:rStyle w:val="jlqj4b"/>
          <w:rFonts w:ascii="Fira Sans" w:eastAsiaTheme="minorHAnsi" w:hAnsi="Fira Sans" w:cstheme="minorBidi"/>
          <w:b w:val="0"/>
          <w:bCs w:val="0"/>
          <w:noProof w:val="0"/>
          <w:szCs w:val="22"/>
          <w:lang w:val="en-US" w:eastAsia="en-US"/>
        </w:rPr>
        <w:t xml:space="preserve">. </w:t>
      </w:r>
      <w:r w:rsidR="00044E97">
        <w:rPr>
          <w:lang w:val="en-US"/>
        </w:rPr>
        <w:t xml:space="preserve"> </w:t>
      </w:r>
      <w:r w:rsidR="00B643FC" w:rsidRPr="00B643FC">
        <w:rPr>
          <w:lang w:val="en-US"/>
        </w:rPr>
        <w:t xml:space="preserve"> </w:t>
      </w:r>
      <w:r w:rsidR="000232E9" w:rsidRPr="005772BF">
        <w:rPr>
          <w:lang w:val="en-US"/>
        </w:rPr>
        <w:t xml:space="preserve"> </w:t>
      </w:r>
    </w:p>
    <w:p w:rsidR="00242624" w:rsidRDefault="00646D9D" w:rsidP="00331D96">
      <w:pPr>
        <w:pStyle w:val="Tytuwykresu0"/>
        <w:spacing w:before="120" w:line="288" w:lineRule="auto"/>
        <w:rPr>
          <w:rStyle w:val="jlqj4b"/>
          <w:rFonts w:ascii="Fira Sans" w:eastAsiaTheme="minorHAnsi" w:hAnsi="Fira Sans" w:cstheme="minorBidi"/>
          <w:b w:val="0"/>
          <w:bCs w:val="0"/>
          <w:noProof w:val="0"/>
          <w:szCs w:val="22"/>
          <w:lang w:val="en-US" w:eastAsia="en-US"/>
        </w:rPr>
      </w:pPr>
      <w:r>
        <w:rPr>
          <w:rStyle w:val="jlqj4b"/>
          <w:rFonts w:ascii="Fira Sans" w:eastAsiaTheme="minorHAnsi" w:hAnsi="Fira Sans" w:cstheme="minorBidi"/>
          <w:b w:val="0"/>
          <w:bCs w:val="0"/>
          <w:noProof w:val="0"/>
          <w:szCs w:val="22"/>
          <w:lang w:val="en-US" w:eastAsia="en-US"/>
        </w:rPr>
        <w:t>In the cumulative period of ten months of</w:t>
      </w:r>
      <w:r w:rsidRPr="006D7F87">
        <w:rPr>
          <w:rStyle w:val="jlqj4b"/>
          <w:rFonts w:ascii="Fira Sans" w:eastAsiaTheme="minorHAnsi" w:hAnsi="Fira Sans" w:cstheme="minorBidi"/>
          <w:b w:val="0"/>
          <w:bCs w:val="0"/>
          <w:noProof w:val="0"/>
          <w:szCs w:val="22"/>
          <w:lang w:val="en-US" w:eastAsia="en-US"/>
        </w:rPr>
        <w:t xml:space="preserve"> 2022, average gross wages and salaries in the enterprise sector</w:t>
      </w:r>
      <w:r>
        <w:rPr>
          <w:rStyle w:val="jlqj4b"/>
          <w:rFonts w:ascii="Fira Sans" w:eastAsiaTheme="minorHAnsi" w:hAnsi="Fira Sans" w:cstheme="minorBidi"/>
          <w:b w:val="0"/>
          <w:bCs w:val="0"/>
          <w:noProof w:val="0"/>
          <w:szCs w:val="22"/>
          <w:lang w:val="en-US" w:eastAsia="en-US"/>
        </w:rPr>
        <w:t>, in relation to the same period of the previous year, increased in</w:t>
      </w:r>
      <w:r w:rsidRPr="006D7F87">
        <w:rPr>
          <w:rStyle w:val="jlqj4b"/>
          <w:rFonts w:ascii="Fira Sans" w:eastAsiaTheme="minorHAnsi" w:hAnsi="Fira Sans" w:cstheme="minorBidi"/>
          <w:b w:val="0"/>
          <w:bCs w:val="0"/>
          <w:noProof w:val="0"/>
          <w:szCs w:val="22"/>
          <w:lang w:val="en-US" w:eastAsia="en-US"/>
        </w:rPr>
        <w:t xml:space="preserve"> all NACE Rev.2 </w:t>
      </w:r>
      <w:r>
        <w:rPr>
          <w:rStyle w:val="jlqj4b"/>
          <w:rFonts w:ascii="Fira Sans" w:eastAsiaTheme="minorHAnsi" w:hAnsi="Fira Sans" w:cstheme="minorBidi"/>
          <w:b w:val="0"/>
          <w:bCs w:val="0"/>
          <w:noProof w:val="0"/>
          <w:szCs w:val="22"/>
          <w:lang w:val="en-US" w:eastAsia="en-US"/>
        </w:rPr>
        <w:t xml:space="preserve">sections by between 1.5% in section </w:t>
      </w:r>
      <w:r w:rsidRPr="00193342">
        <w:rPr>
          <w:rStyle w:val="jlqj4b"/>
          <w:rFonts w:ascii="Fira Sans" w:eastAsiaTheme="minorHAnsi" w:hAnsi="Fira Sans" w:cstheme="minorBidi"/>
          <w:b w:val="0"/>
          <w:bCs w:val="0"/>
          <w:noProof w:val="0"/>
          <w:szCs w:val="22"/>
          <w:lang w:val="en-US" w:eastAsia="en-US"/>
        </w:rPr>
        <w:t>“Other service activities”</w:t>
      </w:r>
      <w:r w:rsidRPr="00AE4819">
        <w:rPr>
          <w:rStyle w:val="Odwoanieprzypisudolnego"/>
          <w:rFonts w:cs="FiraSans-Regular"/>
          <w:szCs w:val="19"/>
          <w:lang w:val="en-GB"/>
        </w:rPr>
        <w:t xml:space="preserve"> </w:t>
      </w:r>
      <w:r w:rsidRPr="00FA180B">
        <w:rPr>
          <w:rStyle w:val="Odwoanieprzypisudolnego"/>
          <w:rFonts w:ascii="Arial" w:hAnsi="Arial" w:cs="Arial"/>
          <w:b w:val="0"/>
          <w:szCs w:val="19"/>
          <w:lang w:val="en-GB"/>
        </w:rPr>
        <w:footnoteReference w:id="3"/>
      </w:r>
      <w:r>
        <w:rPr>
          <w:rStyle w:val="jlqj4b"/>
          <w:rFonts w:ascii="Fira Sans" w:eastAsiaTheme="minorHAnsi" w:hAnsi="Fira Sans" w:cstheme="minorBidi"/>
          <w:b w:val="0"/>
          <w:bCs w:val="0"/>
          <w:noProof w:val="0"/>
          <w:szCs w:val="22"/>
          <w:lang w:val="en-US" w:eastAsia="en-US"/>
        </w:rPr>
        <w:t xml:space="preserve"> and 23.1% in section “T</w:t>
      </w:r>
      <w:r w:rsidRPr="00130F01">
        <w:rPr>
          <w:rStyle w:val="jlqj4b"/>
          <w:rFonts w:ascii="Fira Sans" w:eastAsiaTheme="minorHAnsi" w:hAnsi="Fira Sans" w:cstheme="minorBidi"/>
          <w:b w:val="0"/>
          <w:bCs w:val="0"/>
          <w:noProof w:val="0"/>
          <w:szCs w:val="22"/>
          <w:lang w:val="en-US" w:eastAsia="en-US"/>
        </w:rPr>
        <w:t>ransportation and storage</w:t>
      </w:r>
      <w:r>
        <w:rPr>
          <w:rStyle w:val="jlqj4b"/>
          <w:rFonts w:ascii="Fira Sans" w:eastAsiaTheme="minorHAnsi" w:hAnsi="Fira Sans" w:cstheme="minorBidi"/>
          <w:b w:val="0"/>
          <w:bCs w:val="0"/>
          <w:noProof w:val="0"/>
          <w:szCs w:val="22"/>
          <w:lang w:val="en-US" w:eastAsia="en-US"/>
        </w:rPr>
        <w:t xml:space="preserve">”, </w:t>
      </w:r>
      <w:r w:rsidRPr="00130F01">
        <w:rPr>
          <w:rStyle w:val="jlqj4b"/>
          <w:rFonts w:ascii="Fira Sans" w:eastAsiaTheme="minorHAnsi" w:hAnsi="Fira Sans" w:cstheme="minorBidi"/>
          <w:b w:val="0"/>
          <w:bCs w:val="0"/>
          <w:noProof w:val="0"/>
          <w:szCs w:val="22"/>
          <w:lang w:val="en-US" w:eastAsia="en-US"/>
        </w:rPr>
        <w:t xml:space="preserve">which resulted in </w:t>
      </w:r>
      <w:r>
        <w:rPr>
          <w:rStyle w:val="jlqj4b"/>
          <w:rFonts w:ascii="Fira Sans" w:eastAsiaTheme="minorHAnsi" w:hAnsi="Fira Sans" w:cstheme="minorBidi"/>
          <w:b w:val="0"/>
          <w:bCs w:val="0"/>
          <w:noProof w:val="0"/>
          <w:szCs w:val="22"/>
          <w:lang w:val="en-US" w:eastAsia="en-US"/>
        </w:rPr>
        <w:t>total increase in the enterprise sector of</w:t>
      </w:r>
      <w:r w:rsidRPr="00130F01">
        <w:rPr>
          <w:rStyle w:val="jlqj4b"/>
          <w:rFonts w:ascii="Fira Sans" w:eastAsiaTheme="minorHAnsi" w:hAnsi="Fira Sans" w:cstheme="minorBidi"/>
          <w:b w:val="0"/>
          <w:bCs w:val="0"/>
          <w:noProof w:val="0"/>
          <w:szCs w:val="22"/>
          <w:lang w:val="en-US" w:eastAsia="en-US"/>
        </w:rPr>
        <w:t xml:space="preserve"> </w:t>
      </w:r>
      <w:r>
        <w:rPr>
          <w:rStyle w:val="jlqj4b"/>
          <w:rFonts w:ascii="Fira Sans" w:eastAsiaTheme="minorHAnsi" w:hAnsi="Fira Sans" w:cstheme="minorBidi"/>
          <w:b w:val="0"/>
          <w:bCs w:val="0"/>
          <w:noProof w:val="0"/>
          <w:szCs w:val="22"/>
          <w:lang w:val="en-US" w:eastAsia="en-US"/>
        </w:rPr>
        <w:t>13.2%.</w:t>
      </w:r>
      <w:r w:rsidRPr="002D1FA0">
        <w:rPr>
          <w:rStyle w:val="jlqj4b"/>
          <w:rFonts w:ascii="Fira Sans" w:eastAsiaTheme="minorHAnsi" w:hAnsi="Fira Sans" w:cstheme="minorBidi"/>
          <w:b w:val="0"/>
          <w:bCs w:val="0"/>
          <w:noProof w:val="0"/>
          <w:szCs w:val="22"/>
          <w:lang w:val="en-US" w:eastAsia="en-US"/>
        </w:rPr>
        <w:t xml:space="preserve"> The highest average monthly gross salary in the enterprise sector in cumulative period was </w:t>
      </w:r>
      <w:r>
        <w:rPr>
          <w:rStyle w:val="jlqj4b"/>
          <w:rFonts w:ascii="Fira Sans" w:eastAsiaTheme="minorHAnsi" w:hAnsi="Fira Sans" w:cstheme="minorBidi"/>
          <w:b w:val="0"/>
          <w:bCs w:val="0"/>
          <w:noProof w:val="0"/>
          <w:szCs w:val="22"/>
          <w:lang w:val="en-US" w:eastAsia="en-US"/>
        </w:rPr>
        <w:t>noted</w:t>
      </w:r>
      <w:r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Pr>
          <w:rStyle w:val="jlqj4b"/>
          <w:rFonts w:ascii="Fira Sans" w:eastAsiaTheme="minorHAnsi" w:hAnsi="Fira Sans" w:cstheme="minorBidi"/>
          <w:b w:val="0"/>
          <w:bCs w:val="0"/>
          <w:noProof w:val="0"/>
          <w:szCs w:val="22"/>
          <w:lang w:val="en-US" w:eastAsia="en-US"/>
        </w:rPr>
        <w:t>11239.31</w:t>
      </w:r>
      <w:r w:rsidRPr="002D1FA0">
        <w:rPr>
          <w:rStyle w:val="jlqj4b"/>
          <w:rFonts w:ascii="Fira Sans" w:eastAsiaTheme="minorHAnsi" w:hAnsi="Fira Sans" w:cstheme="minorBidi"/>
          <w:b w:val="0"/>
          <w:bCs w:val="0"/>
          <w:noProof w:val="0"/>
          <w:szCs w:val="22"/>
          <w:lang w:val="en-US" w:eastAsia="en-US"/>
        </w:rPr>
        <w:t xml:space="preserve"> PLN (an increase by </w:t>
      </w:r>
      <w:r>
        <w:rPr>
          <w:rStyle w:val="jlqj4b"/>
          <w:rFonts w:ascii="Fira Sans" w:eastAsiaTheme="minorHAnsi" w:hAnsi="Fira Sans" w:cstheme="minorBidi"/>
          <w:b w:val="0"/>
          <w:bCs w:val="0"/>
          <w:noProof w:val="0"/>
          <w:szCs w:val="22"/>
          <w:lang w:val="en-US" w:eastAsia="en-US"/>
        </w:rPr>
        <w:t>12.2</w:t>
      </w:r>
      <w:r w:rsidRPr="002D1FA0">
        <w:rPr>
          <w:rStyle w:val="jlqj4b"/>
          <w:rFonts w:ascii="Fira Sans" w:eastAsiaTheme="minorHAnsi" w:hAnsi="Fira Sans" w:cstheme="minorBidi"/>
          <w:b w:val="0"/>
          <w:bCs w:val="0"/>
          <w:noProof w:val="0"/>
          <w:szCs w:val="22"/>
          <w:lang w:val="en-US" w:eastAsia="en-US"/>
        </w:rPr>
        <w:t xml:space="preserve">% </w:t>
      </w:r>
      <w:r>
        <w:rPr>
          <w:rStyle w:val="jlqj4b"/>
          <w:rFonts w:ascii="Fira Sans" w:eastAsiaTheme="minorHAnsi" w:hAnsi="Fira Sans" w:cstheme="minorBidi"/>
          <w:b w:val="0"/>
          <w:bCs w:val="0"/>
          <w:noProof w:val="0"/>
          <w:szCs w:val="22"/>
          <w:lang w:val="en-US" w:eastAsia="en-US"/>
        </w:rPr>
        <w:t>in regard to</w:t>
      </w:r>
      <w:r w:rsidRPr="002D1FA0">
        <w:rPr>
          <w:rStyle w:val="jlqj4b"/>
          <w:rFonts w:ascii="Fira Sans" w:eastAsiaTheme="minorHAnsi" w:hAnsi="Fira Sans" w:cstheme="minorBidi"/>
          <w:b w:val="0"/>
          <w:bCs w:val="0"/>
          <w:noProof w:val="0"/>
          <w:szCs w:val="22"/>
          <w:lang w:val="en-US" w:eastAsia="en-US"/>
        </w:rPr>
        <w:t xml:space="preserve"> the corresponding period of the previous year)</w:t>
      </w:r>
      <w:r>
        <w:rPr>
          <w:rStyle w:val="jlqj4b"/>
          <w:rFonts w:ascii="Fira Sans" w:eastAsiaTheme="minorHAnsi" w:hAnsi="Fira Sans" w:cstheme="minorBidi"/>
          <w:b w:val="0"/>
          <w:bCs w:val="0"/>
          <w:noProof w:val="0"/>
          <w:szCs w:val="22"/>
          <w:lang w:val="en-US" w:eastAsia="en-US"/>
        </w:rPr>
        <w:t xml:space="preserve"> and in section “Mining and quarrying” in the amount of 10142,71 PLN (an increase by 21.6</w:t>
      </w:r>
      <w:r w:rsidR="00B25BD5">
        <w:rPr>
          <w:rStyle w:val="jlqj4b"/>
          <w:rFonts w:ascii="Fira Sans" w:eastAsiaTheme="minorHAnsi" w:hAnsi="Fira Sans" w:cstheme="minorBidi"/>
          <w:b w:val="0"/>
          <w:bCs w:val="0"/>
          <w:noProof w:val="0"/>
          <w:szCs w:val="22"/>
          <w:lang w:val="en-US" w:eastAsia="en-US"/>
        </w:rPr>
        <w:t>%</w:t>
      </w:r>
      <w:r>
        <w:rPr>
          <w:rStyle w:val="jlqj4b"/>
          <w:rFonts w:ascii="Fira Sans" w:eastAsiaTheme="minorHAnsi" w:hAnsi="Fira Sans" w:cstheme="minorBidi"/>
          <w:b w:val="0"/>
          <w:bCs w:val="0"/>
          <w:noProof w:val="0"/>
          <w:szCs w:val="22"/>
          <w:lang w:val="en-US" w:eastAsia="en-US"/>
        </w:rPr>
        <w:t xml:space="preserve"> in regard to the corresponding period of the previous year)</w:t>
      </w:r>
      <w:r w:rsidRPr="002D1FA0">
        <w:rPr>
          <w:rStyle w:val="jlqj4b"/>
          <w:rFonts w:ascii="Fira Sans" w:eastAsiaTheme="minorHAnsi" w:hAnsi="Fira Sans" w:cstheme="minorBidi"/>
          <w:b w:val="0"/>
          <w:bCs w:val="0"/>
          <w:noProof w:val="0"/>
          <w:szCs w:val="22"/>
          <w:lang w:val="en-US" w:eastAsia="en-US"/>
        </w:rPr>
        <w:t xml:space="preserve">, </w:t>
      </w:r>
      <w:r>
        <w:rPr>
          <w:rStyle w:val="jlqj4b"/>
          <w:rFonts w:ascii="Fira Sans" w:eastAsiaTheme="minorHAnsi" w:hAnsi="Fira Sans" w:cstheme="minorBidi"/>
          <w:b w:val="0"/>
          <w:bCs w:val="0"/>
          <w:noProof w:val="0"/>
          <w:szCs w:val="22"/>
          <w:lang w:val="en-US" w:eastAsia="en-US"/>
        </w:rPr>
        <w:t>while</w:t>
      </w:r>
      <w:r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Pr>
          <w:rStyle w:val="jlqj4b"/>
          <w:rFonts w:ascii="Fira Sans" w:eastAsiaTheme="minorHAnsi" w:hAnsi="Fira Sans" w:cstheme="minorBidi"/>
          <w:b w:val="0"/>
          <w:bCs w:val="0"/>
          <w:noProof w:val="0"/>
          <w:szCs w:val="22"/>
          <w:lang w:val="en-US" w:eastAsia="en-US"/>
        </w:rPr>
        <w:t>4715.54</w:t>
      </w:r>
      <w:r w:rsidRPr="002D1FA0">
        <w:rPr>
          <w:rStyle w:val="jlqj4b"/>
          <w:rFonts w:ascii="Fira Sans" w:eastAsiaTheme="minorHAnsi" w:hAnsi="Fira Sans" w:cstheme="minorBidi"/>
          <w:b w:val="0"/>
          <w:bCs w:val="0"/>
          <w:noProof w:val="0"/>
          <w:szCs w:val="22"/>
          <w:lang w:val="en-US" w:eastAsia="en-US"/>
        </w:rPr>
        <w:t xml:space="preserve"> PLN (despite an incre</w:t>
      </w:r>
      <w:r>
        <w:rPr>
          <w:rStyle w:val="jlqj4b"/>
          <w:rFonts w:ascii="Fira Sans" w:eastAsiaTheme="minorHAnsi" w:hAnsi="Fira Sans" w:cstheme="minorBidi"/>
          <w:b w:val="0"/>
          <w:bCs w:val="0"/>
          <w:noProof w:val="0"/>
          <w:szCs w:val="22"/>
          <w:lang w:val="en-US" w:eastAsia="en-US"/>
        </w:rPr>
        <w:t>ase in relation to</w:t>
      </w:r>
      <w:r w:rsidRPr="002D1FA0">
        <w:rPr>
          <w:rStyle w:val="jlqj4b"/>
          <w:rFonts w:ascii="Fira Sans" w:eastAsiaTheme="minorHAnsi" w:hAnsi="Fira Sans" w:cstheme="minorBidi"/>
          <w:b w:val="0"/>
          <w:bCs w:val="0"/>
          <w:noProof w:val="0"/>
          <w:szCs w:val="22"/>
          <w:lang w:val="en-US" w:eastAsia="en-US"/>
        </w:rPr>
        <w:t xml:space="preserve"> the situation in</w:t>
      </w:r>
      <w:r>
        <w:rPr>
          <w:rStyle w:val="jlqj4b"/>
          <w:rFonts w:ascii="Fira Sans" w:eastAsiaTheme="minorHAnsi" w:hAnsi="Fira Sans" w:cstheme="minorBidi"/>
          <w:b w:val="0"/>
          <w:bCs w:val="0"/>
          <w:noProof w:val="0"/>
          <w:szCs w:val="22"/>
          <w:lang w:val="en-US" w:eastAsia="en-US"/>
        </w:rPr>
        <w:t xml:space="preserve"> the</w:t>
      </w:r>
      <w:r w:rsidRPr="002D1FA0">
        <w:rPr>
          <w:rStyle w:val="jlqj4b"/>
          <w:rFonts w:ascii="Fira Sans" w:eastAsiaTheme="minorHAnsi" w:hAnsi="Fira Sans" w:cstheme="minorBidi"/>
          <w:b w:val="0"/>
          <w:bCs w:val="0"/>
          <w:noProof w:val="0"/>
          <w:szCs w:val="22"/>
          <w:lang w:val="en-US" w:eastAsia="en-US"/>
        </w:rPr>
        <w:t xml:space="preserve"> previous year by </w:t>
      </w:r>
      <w:r>
        <w:rPr>
          <w:rStyle w:val="jlqj4b"/>
          <w:rFonts w:ascii="Fira Sans" w:eastAsiaTheme="minorHAnsi" w:hAnsi="Fira Sans" w:cstheme="minorBidi"/>
          <w:b w:val="0"/>
          <w:bCs w:val="0"/>
          <w:noProof w:val="0"/>
          <w:szCs w:val="22"/>
          <w:lang w:val="en-US" w:eastAsia="en-US"/>
        </w:rPr>
        <w:t>13.3%</w:t>
      </w:r>
      <w:r w:rsidRPr="002D1FA0">
        <w:rPr>
          <w:rStyle w:val="jlqj4b"/>
          <w:rFonts w:ascii="Fira Sans" w:eastAsiaTheme="minorHAnsi" w:hAnsi="Fira Sans" w:cstheme="minorBidi"/>
          <w:b w:val="0"/>
          <w:bCs w:val="0"/>
          <w:noProof w:val="0"/>
          <w:szCs w:val="22"/>
          <w:lang w:val="en-US" w:eastAsia="en-US"/>
        </w:rPr>
        <w:t>).</w:t>
      </w:r>
    </w:p>
    <w:p w:rsidR="00044E97" w:rsidRDefault="00044E97">
      <w:pPr>
        <w:spacing w:before="0" w:after="160" w:line="259" w:lineRule="auto"/>
        <w:rPr>
          <w:rStyle w:val="jlqj4b"/>
          <w:lang w:val="en-US"/>
        </w:rPr>
      </w:pPr>
      <w:r>
        <w:rPr>
          <w:rStyle w:val="jlqj4b"/>
          <w:b/>
          <w:bCs/>
          <w:lang w:val="en-US"/>
        </w:rPr>
        <w:br w:type="page"/>
      </w:r>
    </w:p>
    <w:p w:rsidR="00044E97" w:rsidRPr="00A62247" w:rsidRDefault="00044E97" w:rsidP="00044E97">
      <w:pPr>
        <w:pStyle w:val="Nagwek1"/>
        <w:rPr>
          <w:rFonts w:ascii="Fira Sans" w:hAnsi="Fira Sans"/>
          <w:b/>
          <w:szCs w:val="19"/>
          <w:lang w:val="en-GB"/>
        </w:rPr>
      </w:pPr>
      <w:r>
        <w:rPr>
          <w:rFonts w:ascii="Fira Sans" w:hAnsi="Fira Sans"/>
          <w:b/>
          <w:szCs w:val="19"/>
          <w:lang w:val="en-US"/>
        </w:rPr>
        <w:lastRenderedPageBreak/>
        <w:t>M</w:t>
      </w:r>
      <w:r w:rsidRPr="00A62247">
        <w:rPr>
          <w:rFonts w:ascii="Fira Sans" w:hAnsi="Fira Sans"/>
          <w:b/>
          <w:szCs w:val="19"/>
          <w:lang w:val="en-GB"/>
        </w:rPr>
        <w:t>ethodological notes</w:t>
      </w:r>
    </w:p>
    <w:p w:rsidR="00044E97" w:rsidRPr="0062060F" w:rsidRDefault="00044E97" w:rsidP="00044E9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Pr>
          <w:rStyle w:val="tlid-translation"/>
          <w:b/>
          <w:lang w:val="en-GB"/>
        </w:rPr>
        <w:t>with</w:t>
      </w:r>
      <w:r w:rsidRPr="0062060F">
        <w:rPr>
          <w:rStyle w:val="tlid-translation"/>
          <w:b/>
          <w:lang w:val="en-GB"/>
        </w:rPr>
        <w:t xml:space="preserve"> </w:t>
      </w:r>
      <w:r w:rsidRPr="0058098F">
        <w:rPr>
          <w:rStyle w:val="tlid-translation"/>
          <w:b/>
          <w:lang w:val="en-GB"/>
        </w:rPr>
        <w:t>the number of employed persons 10 or more people</w:t>
      </w:r>
      <w:r>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044E97" w:rsidRDefault="00044E97" w:rsidP="00044E9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w:t>
      </w:r>
      <w:r>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Pr>
          <w:rFonts w:eastAsia="Calibri"/>
          <w:shd w:val="clear" w:color="auto" w:fill="FFFFFF"/>
          <w:lang w:val="en-GB"/>
        </w:rPr>
        <w:t xml:space="preserve"> survey, while for the entities</w:t>
      </w:r>
      <w:r w:rsidRPr="0062060F">
        <w:rPr>
          <w:rFonts w:eastAsia="Calibri"/>
          <w:shd w:val="clear" w:color="auto" w:fill="FFFFFF"/>
          <w:lang w:val="en-GB"/>
        </w:rPr>
        <w:t xml:space="preserve"> </w:t>
      </w:r>
      <w:r>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Pr>
          <w:rFonts w:eastAsia="Calibri"/>
          <w:shd w:val="clear" w:color="auto" w:fill="FFFFFF"/>
          <w:lang w:val="en-GB"/>
        </w:rPr>
        <w:t>people</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4"/>
      </w:r>
      <w:r w:rsidRPr="0062060F">
        <w:rPr>
          <w:rFonts w:cs="FiraSans-Regular"/>
          <w:szCs w:val="19"/>
          <w:lang w:val="en-GB" w:eastAsia="pl-PL"/>
        </w:rPr>
        <w:t>.</w:t>
      </w:r>
    </w:p>
    <w:p w:rsidR="00044E97" w:rsidRDefault="00044E97" w:rsidP="00044E9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5"/>
      </w:r>
      <w:r w:rsidRPr="0062060F">
        <w:rPr>
          <w:rStyle w:val="tlid-translation"/>
          <w:lang w:val="en-GB"/>
        </w:rPr>
        <w:t>.</w:t>
      </w:r>
    </w:p>
    <w:p w:rsidR="00044E97" w:rsidRPr="00CE6373" w:rsidRDefault="00044E97" w:rsidP="00044E9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Pr>
          <w:rStyle w:val="jlqj4b"/>
          <w:lang w:val="en-GB"/>
        </w:rPr>
        <w:t>.</w:t>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C31219"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C31219"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7D284F" w:rsidRDefault="008A3906" w:rsidP="00CE6373">
            <w:pPr>
              <w:rPr>
                <w:rStyle w:val="Hipercze"/>
                <w:lang w:val="en-US"/>
              </w:rPr>
            </w:pPr>
            <w:hyperlink r:id="rId23" w:history="1">
              <w:r w:rsidR="007D284F" w:rsidRPr="007D284F">
                <w:rPr>
                  <w:rStyle w:val="Hipercze"/>
                  <w:lang w:val="en-US"/>
                </w:rPr>
                <w:t>Labour market: Working employed. Wages and salaries. Cost of labour</w:t>
              </w:r>
            </w:hyperlink>
          </w:p>
          <w:p w:rsidR="00113D3A" w:rsidRPr="00CE6373" w:rsidRDefault="008A3906" w:rsidP="00113D3A">
            <w:pPr>
              <w:rPr>
                <w:rStyle w:val="Hipercze"/>
                <w:lang w:val="en-US"/>
              </w:rPr>
            </w:pPr>
            <w:hyperlink r:id="rId24" w:history="1">
              <w:r w:rsidR="00113D3A" w:rsidRPr="00017E4F">
                <w:rPr>
                  <w:rStyle w:val="Hipercze"/>
                  <w:lang w:val="en-US"/>
                </w:rPr>
                <w:t xml:space="preserve">Employment, wages and salaries in national economy in </w:t>
              </w:r>
              <w:r w:rsidR="00017E4F" w:rsidRPr="00017E4F">
                <w:rPr>
                  <w:rStyle w:val="Hipercze"/>
                  <w:lang w:val="en-US"/>
                </w:rPr>
                <w:t xml:space="preserve">the </w:t>
              </w:r>
              <w:r w:rsidR="00113D3A" w:rsidRPr="00017E4F">
                <w:rPr>
                  <w:rStyle w:val="Hipercze"/>
                  <w:lang w:val="en-US"/>
                </w:rPr>
                <w:t xml:space="preserve">first </w:t>
              </w:r>
              <w:r w:rsidR="00254E06" w:rsidRPr="00017E4F">
                <w:rPr>
                  <w:rStyle w:val="Hipercze"/>
                  <w:lang w:val="en-US"/>
                </w:rPr>
                <w:t>half of</w:t>
              </w:r>
              <w:r w:rsidR="00113D3A" w:rsidRPr="00017E4F">
                <w:rPr>
                  <w:rStyle w:val="Hipercze"/>
                  <w:lang w:val="en-US"/>
                </w:rPr>
                <w:t xml:space="preserve"> 2022</w:t>
              </w:r>
            </w:hyperlink>
          </w:p>
          <w:p w:rsidR="00CE6373" w:rsidRPr="00CE6373" w:rsidRDefault="008A3906"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8A3906"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8A3906"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8A3906"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8A3906"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071407" w:rsidRPr="00071407" w:rsidRDefault="00CA784C" w:rsidP="00071407">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071407" w:rsidRPr="00071407" w:rsidRDefault="008A3906" w:rsidP="00CE6373">
            <w:pPr>
              <w:rPr>
                <w:lang w:val="en-US"/>
              </w:rPr>
            </w:pPr>
            <w:hyperlink r:id="rId30" w:history="1">
              <w:r w:rsidR="00071407" w:rsidRPr="00071407">
                <w:rPr>
                  <w:rStyle w:val="Hipercze"/>
                  <w:rFonts w:cstheme="minorBidi"/>
                  <w:lang w:val="en-US"/>
                </w:rPr>
                <w:t>Enterprise sector in the labour market and wages and salaries statistics</w:t>
              </w:r>
            </w:hyperlink>
          </w:p>
          <w:p w:rsidR="00CE6373" w:rsidRPr="00043EEC" w:rsidRDefault="008A3906" w:rsidP="00CE6373">
            <w:pPr>
              <w:rPr>
                <w:rStyle w:val="Hipercze"/>
                <w:lang w:val="en-US"/>
              </w:rPr>
            </w:pPr>
            <w:hyperlink r:id="rId31" w:history="1">
              <w:r w:rsidR="00CE6373" w:rsidRPr="00CE6373">
                <w:rPr>
                  <w:rStyle w:val="Hipercze"/>
                  <w:lang w:val="en-US"/>
                </w:rPr>
                <w:t>Average paid employment</w:t>
              </w:r>
            </w:hyperlink>
          </w:p>
          <w:p w:rsidR="00DE2400" w:rsidRPr="00CE6373" w:rsidRDefault="008A3906" w:rsidP="00597C8F">
            <w:pPr>
              <w:rPr>
                <w:rFonts w:cs="Arial"/>
                <w:color w:val="001D77"/>
                <w:sz w:val="18"/>
                <w:szCs w:val="30"/>
                <w:u w:val="single"/>
                <w:shd w:val="clear" w:color="auto" w:fill="F0F0F0"/>
                <w:lang w:val="en-US"/>
              </w:rPr>
            </w:pPr>
            <w:hyperlink r:id="rId32"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C31219"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906" w:rsidRDefault="008A3906" w:rsidP="000662E2">
      <w:pPr>
        <w:spacing w:after="0" w:line="240" w:lineRule="auto"/>
      </w:pPr>
      <w:r>
        <w:separator/>
      </w:r>
    </w:p>
  </w:endnote>
  <w:endnote w:type="continuationSeparator" w:id="0">
    <w:p w:rsidR="008A3906" w:rsidRDefault="008A390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3787512-BE4B-43AA-ACAB-6D564A828BC5}"/>
    <w:embedBold r:id="rId2" w:fontKey="{FC711BDE-81E1-4CF3-8CE1-A2771C07E3BA}"/>
  </w:font>
  <w:font w:name="Fira Sans Light">
    <w:panose1 w:val="020B0403050000020004"/>
    <w:charset w:val="EE"/>
    <w:family w:val="swiss"/>
    <w:pitch w:val="variable"/>
    <w:sig w:usb0="600002FF" w:usb1="02000001" w:usb2="00000000" w:usb3="00000000" w:csb0="0000019F" w:csb1="00000000"/>
    <w:embedRegular r:id="rId3" w:fontKey="{23408A75-2473-4940-AB39-18F35718CABC}"/>
    <w:embedBold r:id="rId4" w:fontKey="{8B88BBD5-6C8E-4522-AEC4-24B45AC92BF4}"/>
  </w:font>
  <w:font w:name="Fira Sans SemiBold">
    <w:panose1 w:val="020B0603050000020004"/>
    <w:charset w:val="EE"/>
    <w:family w:val="swiss"/>
    <w:pitch w:val="variable"/>
    <w:sig w:usb0="600002FF" w:usb1="02000001" w:usb2="00000000" w:usb3="00000000" w:csb0="0000019F" w:csb1="00000000"/>
    <w:embedRegular r:id="rId5" w:fontKey="{A7CDF6A4-B1F0-4872-92B2-1F0DF6ECE0EC}"/>
    <w:embedBold r:id="rId6" w:fontKey="{52136D7C-156E-46F1-B9DD-9352CD9AD095}"/>
  </w:font>
  <w:font w:name="Fira Sans Medium">
    <w:panose1 w:val="020B0603050000020004"/>
    <w:charset w:val="EE"/>
    <w:family w:val="swiss"/>
    <w:pitch w:val="variable"/>
    <w:sig w:usb0="600002FF" w:usb1="02000001" w:usb2="00000000" w:usb3="00000000" w:csb0="0000019F" w:csb1="00000000"/>
    <w:embedRegular r:id="rId7" w:fontKey="{1367F0BF-CAAD-4CA3-9C0A-112A721DC5AA}"/>
    <w:embedItalic r:id="rId8" w:fontKey="{DBCE76AE-53F5-426A-8856-EF5510F31600}"/>
  </w:font>
  <w:font w:name="Segoe UI">
    <w:panose1 w:val="020B0502040204020203"/>
    <w:charset w:val="EE"/>
    <w:family w:val="swiss"/>
    <w:pitch w:val="variable"/>
    <w:sig w:usb0="E4002EFF" w:usb1="C000E47F" w:usb2="00000009" w:usb3="00000000" w:csb0="000001FF" w:csb1="00000000"/>
    <w:embedRegular r:id="rId9" w:fontKey="{D993EA31-8023-4871-AEFC-BCDC1B757719}"/>
  </w:font>
  <w:font w:name="Fira Sans Extra Condensed SemiB">
    <w:panose1 w:val="020B0603050000020004"/>
    <w:charset w:val="EE"/>
    <w:family w:val="swiss"/>
    <w:pitch w:val="variable"/>
    <w:sig w:usb0="600002FF" w:usb1="00000001" w:usb2="00000000" w:usb3="00000000" w:csb0="0000019F" w:csb1="00000000"/>
    <w:embedRegular r:id="rId10" w:fontKey="{FFF43E17-F88E-4A04-AD23-29366A2C2574}"/>
  </w:font>
  <w:font w:name="Calibri">
    <w:panose1 w:val="020F0502020204030204"/>
    <w:charset w:val="EE"/>
    <w:family w:val="swiss"/>
    <w:pitch w:val="variable"/>
    <w:sig w:usb0="E4002EFF" w:usb1="C000247B" w:usb2="00000009" w:usb3="00000000" w:csb0="000001FF" w:csb1="00000000"/>
    <w:embedRegular r:id="rId11" w:fontKey="{338E5C20-750B-4B6B-BBA2-D77E14EA1DCA}"/>
    <w:embedBold r:id="rId12" w:fontKey="{BEF3A579-1B88-4747-A27A-82B318770CE5}"/>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F2534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F2534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F25342">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906" w:rsidRDefault="008A3906" w:rsidP="000662E2">
      <w:pPr>
        <w:spacing w:after="0" w:line="240" w:lineRule="auto"/>
      </w:pPr>
      <w:r>
        <w:separator/>
      </w:r>
    </w:p>
  </w:footnote>
  <w:footnote w:type="continuationSeparator" w:id="0">
    <w:p w:rsidR="008A3906" w:rsidRDefault="008A3906"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sidR="00625D1B">
        <w:rPr>
          <w:rStyle w:val="tlid-translation"/>
          <w:szCs w:val="19"/>
          <w:lang w:val="en-US"/>
        </w:rPr>
        <w:t>4</w:t>
      </w:r>
      <w:r w:rsidRPr="00490C15">
        <w:rPr>
          <w:rStyle w:val="tlid-translation"/>
          <w:szCs w:val="19"/>
          <w:lang w:val="en-US"/>
        </w:rPr>
        <w:t>.</w:t>
      </w:r>
    </w:p>
  </w:footnote>
  <w:footnote w:id="3">
    <w:p w:rsidR="00646D9D" w:rsidRPr="002F7548" w:rsidRDefault="00646D9D" w:rsidP="00646D9D">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„Activities of membership organisations” (Division 94</w:t>
      </w:r>
      <w:r>
        <w:rPr>
          <w:noProof/>
          <w:spacing w:val="-2"/>
          <w:szCs w:val="19"/>
          <w:lang w:val="en-US"/>
        </w:rPr>
        <w:t>).</w:t>
      </w:r>
    </w:p>
  </w:footnote>
  <w:footnote w:id="4">
    <w:p w:rsidR="00044E97" w:rsidRPr="002F7548" w:rsidRDefault="00044E97" w:rsidP="00044E9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1"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5">
    <w:p w:rsidR="00044E97" w:rsidRPr="002F7548" w:rsidRDefault="00044E97" w:rsidP="00044E9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2"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8A3906">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906">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8A3906">
      <w:rPr>
        <w:noProof/>
        <w:lang w:eastAsia="pl-PL"/>
      </w:rPr>
      <w:pict>
        <v:rect id="Prostokąt 10" o:spid="_x0000_s2050" alt="Date: 21.06.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8A3906">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22.11.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33529D" w:rsidP="00F049AB">
                <w:pPr>
                  <w:pStyle w:val="Datainformacjisygnalnej"/>
                </w:pPr>
                <w:r>
                  <w:t>2</w:t>
                </w:r>
                <w:r w:rsidR="00A95948">
                  <w:t>2</w:t>
                </w:r>
                <w:r w:rsidR="00A90EAC">
                  <w:t>.1</w:t>
                </w:r>
                <w:r w:rsidR="00A95948">
                  <w:t>1</w:t>
                </w:r>
                <w:r w:rsidR="001E06C6">
                  <w:t>.2022</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pPr>
  </w:p>
  <w:p w:rsidR="001E06C6" w:rsidRDefault="001E06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2693"/>
    <w:rsid w:val="00003437"/>
    <w:rsid w:val="00004C82"/>
    <w:rsid w:val="0000709F"/>
    <w:rsid w:val="000108B8"/>
    <w:rsid w:val="00010CB2"/>
    <w:rsid w:val="000152F5"/>
    <w:rsid w:val="00015795"/>
    <w:rsid w:val="00017E4F"/>
    <w:rsid w:val="00021CD0"/>
    <w:rsid w:val="000232E9"/>
    <w:rsid w:val="00037177"/>
    <w:rsid w:val="00042DCB"/>
    <w:rsid w:val="000437BE"/>
    <w:rsid w:val="00043EEC"/>
    <w:rsid w:val="00044E97"/>
    <w:rsid w:val="0004582E"/>
    <w:rsid w:val="00046096"/>
    <w:rsid w:val="00046549"/>
    <w:rsid w:val="000470AA"/>
    <w:rsid w:val="00057CA1"/>
    <w:rsid w:val="00060561"/>
    <w:rsid w:val="000647A9"/>
    <w:rsid w:val="000662E2"/>
    <w:rsid w:val="00066883"/>
    <w:rsid w:val="00070FCA"/>
    <w:rsid w:val="00071407"/>
    <w:rsid w:val="00071B39"/>
    <w:rsid w:val="00074DD8"/>
    <w:rsid w:val="00075759"/>
    <w:rsid w:val="00076B4B"/>
    <w:rsid w:val="00076B70"/>
    <w:rsid w:val="000806F7"/>
    <w:rsid w:val="00096CFD"/>
    <w:rsid w:val="00097840"/>
    <w:rsid w:val="000B0727"/>
    <w:rsid w:val="000B5585"/>
    <w:rsid w:val="000C0AB0"/>
    <w:rsid w:val="000C135D"/>
    <w:rsid w:val="000D1D43"/>
    <w:rsid w:val="000D225C"/>
    <w:rsid w:val="000D2A5C"/>
    <w:rsid w:val="000D39F0"/>
    <w:rsid w:val="000D78E0"/>
    <w:rsid w:val="000E0918"/>
    <w:rsid w:val="000E17C5"/>
    <w:rsid w:val="000E79A9"/>
    <w:rsid w:val="000F569C"/>
    <w:rsid w:val="000F6530"/>
    <w:rsid w:val="001011C3"/>
    <w:rsid w:val="00106DA3"/>
    <w:rsid w:val="00110214"/>
    <w:rsid w:val="00110D87"/>
    <w:rsid w:val="00112399"/>
    <w:rsid w:val="00113D3A"/>
    <w:rsid w:val="00114DB9"/>
    <w:rsid w:val="00116087"/>
    <w:rsid w:val="00117711"/>
    <w:rsid w:val="00120C45"/>
    <w:rsid w:val="00130296"/>
    <w:rsid w:val="00134145"/>
    <w:rsid w:val="00136736"/>
    <w:rsid w:val="00136740"/>
    <w:rsid w:val="00136D67"/>
    <w:rsid w:val="001423B6"/>
    <w:rsid w:val="00143A5D"/>
    <w:rsid w:val="001448A7"/>
    <w:rsid w:val="00146621"/>
    <w:rsid w:val="00146A00"/>
    <w:rsid w:val="001521BF"/>
    <w:rsid w:val="00153835"/>
    <w:rsid w:val="001558D9"/>
    <w:rsid w:val="00156F04"/>
    <w:rsid w:val="001617E3"/>
    <w:rsid w:val="00162325"/>
    <w:rsid w:val="0016640E"/>
    <w:rsid w:val="0017332C"/>
    <w:rsid w:val="00185072"/>
    <w:rsid w:val="00192E0E"/>
    <w:rsid w:val="00193342"/>
    <w:rsid w:val="001951DA"/>
    <w:rsid w:val="001B0128"/>
    <w:rsid w:val="001B053D"/>
    <w:rsid w:val="001B45D7"/>
    <w:rsid w:val="001C3269"/>
    <w:rsid w:val="001D19B6"/>
    <w:rsid w:val="001D1DB4"/>
    <w:rsid w:val="001D23F1"/>
    <w:rsid w:val="001D25F9"/>
    <w:rsid w:val="001D61ED"/>
    <w:rsid w:val="001E06C6"/>
    <w:rsid w:val="001E36C3"/>
    <w:rsid w:val="001E5B2D"/>
    <w:rsid w:val="001F59D0"/>
    <w:rsid w:val="0020156C"/>
    <w:rsid w:val="002021A6"/>
    <w:rsid w:val="002022C6"/>
    <w:rsid w:val="00202D49"/>
    <w:rsid w:val="00204D9C"/>
    <w:rsid w:val="00214989"/>
    <w:rsid w:val="00216634"/>
    <w:rsid w:val="002332A1"/>
    <w:rsid w:val="00242624"/>
    <w:rsid w:val="00242D31"/>
    <w:rsid w:val="0025481E"/>
    <w:rsid w:val="00254E06"/>
    <w:rsid w:val="002574F9"/>
    <w:rsid w:val="00260F7D"/>
    <w:rsid w:val="00262B61"/>
    <w:rsid w:val="00262CC6"/>
    <w:rsid w:val="00263E08"/>
    <w:rsid w:val="002706C8"/>
    <w:rsid w:val="00270A49"/>
    <w:rsid w:val="00276811"/>
    <w:rsid w:val="0027710E"/>
    <w:rsid w:val="00282699"/>
    <w:rsid w:val="00283A7A"/>
    <w:rsid w:val="002926DF"/>
    <w:rsid w:val="00296697"/>
    <w:rsid w:val="00297298"/>
    <w:rsid w:val="002A2A3A"/>
    <w:rsid w:val="002B0472"/>
    <w:rsid w:val="002B2FE8"/>
    <w:rsid w:val="002B35CF"/>
    <w:rsid w:val="002B6A9C"/>
    <w:rsid w:val="002B6B12"/>
    <w:rsid w:val="002B7879"/>
    <w:rsid w:val="002C21F0"/>
    <w:rsid w:val="002D01DF"/>
    <w:rsid w:val="002D1FA0"/>
    <w:rsid w:val="002E2795"/>
    <w:rsid w:val="002E2973"/>
    <w:rsid w:val="002E3EB3"/>
    <w:rsid w:val="002E4CE2"/>
    <w:rsid w:val="002E6140"/>
    <w:rsid w:val="002E6985"/>
    <w:rsid w:val="002E71B6"/>
    <w:rsid w:val="002F3239"/>
    <w:rsid w:val="002F35F6"/>
    <w:rsid w:val="002F6314"/>
    <w:rsid w:val="002F7548"/>
    <w:rsid w:val="002F77C8"/>
    <w:rsid w:val="003017F3"/>
    <w:rsid w:val="00304F22"/>
    <w:rsid w:val="00306C7C"/>
    <w:rsid w:val="00307C68"/>
    <w:rsid w:val="00314F86"/>
    <w:rsid w:val="00316E61"/>
    <w:rsid w:val="00317F4D"/>
    <w:rsid w:val="00322EDD"/>
    <w:rsid w:val="0032535D"/>
    <w:rsid w:val="003309FA"/>
    <w:rsid w:val="00331D96"/>
    <w:rsid w:val="00332320"/>
    <w:rsid w:val="0033529D"/>
    <w:rsid w:val="00347D72"/>
    <w:rsid w:val="003504F8"/>
    <w:rsid w:val="00353F45"/>
    <w:rsid w:val="00357611"/>
    <w:rsid w:val="00362149"/>
    <w:rsid w:val="0036261F"/>
    <w:rsid w:val="0036432A"/>
    <w:rsid w:val="00364AF9"/>
    <w:rsid w:val="00365A0C"/>
    <w:rsid w:val="00367237"/>
    <w:rsid w:val="0037077F"/>
    <w:rsid w:val="00372411"/>
    <w:rsid w:val="00373882"/>
    <w:rsid w:val="00374E8B"/>
    <w:rsid w:val="00377A9F"/>
    <w:rsid w:val="00377E99"/>
    <w:rsid w:val="0038070E"/>
    <w:rsid w:val="003843DB"/>
    <w:rsid w:val="00393761"/>
    <w:rsid w:val="003949F3"/>
    <w:rsid w:val="00394E26"/>
    <w:rsid w:val="00396691"/>
    <w:rsid w:val="00397D18"/>
    <w:rsid w:val="003A1B36"/>
    <w:rsid w:val="003B0EC1"/>
    <w:rsid w:val="003B1454"/>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47C3"/>
    <w:rsid w:val="004054D2"/>
    <w:rsid w:val="004079EE"/>
    <w:rsid w:val="00416EAF"/>
    <w:rsid w:val="004212E7"/>
    <w:rsid w:val="00421CDF"/>
    <w:rsid w:val="00423C88"/>
    <w:rsid w:val="0042446D"/>
    <w:rsid w:val="00427BF8"/>
    <w:rsid w:val="00431C02"/>
    <w:rsid w:val="00432FA2"/>
    <w:rsid w:val="00437395"/>
    <w:rsid w:val="0044301A"/>
    <w:rsid w:val="00445047"/>
    <w:rsid w:val="00446749"/>
    <w:rsid w:val="004505F4"/>
    <w:rsid w:val="00453EB7"/>
    <w:rsid w:val="00457DE9"/>
    <w:rsid w:val="00463E39"/>
    <w:rsid w:val="0046497A"/>
    <w:rsid w:val="004657FC"/>
    <w:rsid w:val="004733F6"/>
    <w:rsid w:val="00474E69"/>
    <w:rsid w:val="00482591"/>
    <w:rsid w:val="00483E9F"/>
    <w:rsid w:val="00485A2C"/>
    <w:rsid w:val="00490C15"/>
    <w:rsid w:val="00495886"/>
    <w:rsid w:val="0049621B"/>
    <w:rsid w:val="004970D8"/>
    <w:rsid w:val="004A0316"/>
    <w:rsid w:val="004A1D19"/>
    <w:rsid w:val="004A57DE"/>
    <w:rsid w:val="004B764F"/>
    <w:rsid w:val="004C1895"/>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70A1"/>
    <w:rsid w:val="0057232A"/>
    <w:rsid w:val="005762A7"/>
    <w:rsid w:val="00576D85"/>
    <w:rsid w:val="005772BF"/>
    <w:rsid w:val="0058098F"/>
    <w:rsid w:val="0058143E"/>
    <w:rsid w:val="005835C1"/>
    <w:rsid w:val="005848E8"/>
    <w:rsid w:val="00587C19"/>
    <w:rsid w:val="00587CEE"/>
    <w:rsid w:val="005916D7"/>
    <w:rsid w:val="0059427F"/>
    <w:rsid w:val="00595FFA"/>
    <w:rsid w:val="00597C8F"/>
    <w:rsid w:val="005A2629"/>
    <w:rsid w:val="005A698C"/>
    <w:rsid w:val="005B300F"/>
    <w:rsid w:val="005B729A"/>
    <w:rsid w:val="005C0CAC"/>
    <w:rsid w:val="005C0EC2"/>
    <w:rsid w:val="005C27A4"/>
    <w:rsid w:val="005C2FF6"/>
    <w:rsid w:val="005D03E2"/>
    <w:rsid w:val="005D062E"/>
    <w:rsid w:val="005D10AD"/>
    <w:rsid w:val="005E0799"/>
    <w:rsid w:val="005E10F9"/>
    <w:rsid w:val="005E1200"/>
    <w:rsid w:val="005E56CF"/>
    <w:rsid w:val="005E7493"/>
    <w:rsid w:val="005F45EE"/>
    <w:rsid w:val="005F5A80"/>
    <w:rsid w:val="00600B8F"/>
    <w:rsid w:val="006044FF"/>
    <w:rsid w:val="00607CC5"/>
    <w:rsid w:val="0061179B"/>
    <w:rsid w:val="006125F9"/>
    <w:rsid w:val="0061345A"/>
    <w:rsid w:val="00614BA5"/>
    <w:rsid w:val="006162F6"/>
    <w:rsid w:val="00616DFB"/>
    <w:rsid w:val="00620B65"/>
    <w:rsid w:val="00625D1B"/>
    <w:rsid w:val="006278B7"/>
    <w:rsid w:val="00627AEE"/>
    <w:rsid w:val="00632306"/>
    <w:rsid w:val="00633014"/>
    <w:rsid w:val="0063437B"/>
    <w:rsid w:val="00635B53"/>
    <w:rsid w:val="0064017E"/>
    <w:rsid w:val="00646D9D"/>
    <w:rsid w:val="006533F0"/>
    <w:rsid w:val="006538F7"/>
    <w:rsid w:val="00653DC3"/>
    <w:rsid w:val="006540F5"/>
    <w:rsid w:val="00654BB6"/>
    <w:rsid w:val="006563CF"/>
    <w:rsid w:val="00657640"/>
    <w:rsid w:val="006673CA"/>
    <w:rsid w:val="006675DD"/>
    <w:rsid w:val="00673C26"/>
    <w:rsid w:val="00674DE5"/>
    <w:rsid w:val="006767C8"/>
    <w:rsid w:val="006770D1"/>
    <w:rsid w:val="00677ACA"/>
    <w:rsid w:val="006812AF"/>
    <w:rsid w:val="0068327D"/>
    <w:rsid w:val="00691278"/>
    <w:rsid w:val="00691534"/>
    <w:rsid w:val="00693880"/>
    <w:rsid w:val="00694AF0"/>
    <w:rsid w:val="006A4686"/>
    <w:rsid w:val="006A6391"/>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676E"/>
    <w:rsid w:val="007211B1"/>
    <w:rsid w:val="0072343E"/>
    <w:rsid w:val="007267B0"/>
    <w:rsid w:val="007277DA"/>
    <w:rsid w:val="00731D27"/>
    <w:rsid w:val="00734CC5"/>
    <w:rsid w:val="00744C82"/>
    <w:rsid w:val="00746187"/>
    <w:rsid w:val="00755928"/>
    <w:rsid w:val="00756CE3"/>
    <w:rsid w:val="00760370"/>
    <w:rsid w:val="0076254F"/>
    <w:rsid w:val="007741F6"/>
    <w:rsid w:val="007801F5"/>
    <w:rsid w:val="00783721"/>
    <w:rsid w:val="00783CA4"/>
    <w:rsid w:val="007842FB"/>
    <w:rsid w:val="00786124"/>
    <w:rsid w:val="0079514B"/>
    <w:rsid w:val="00795252"/>
    <w:rsid w:val="007A2DC1"/>
    <w:rsid w:val="007B5D2F"/>
    <w:rsid w:val="007C31A0"/>
    <w:rsid w:val="007C36FC"/>
    <w:rsid w:val="007D0869"/>
    <w:rsid w:val="007D14C4"/>
    <w:rsid w:val="007D284F"/>
    <w:rsid w:val="007D3319"/>
    <w:rsid w:val="007D335D"/>
    <w:rsid w:val="007D605C"/>
    <w:rsid w:val="007D7082"/>
    <w:rsid w:val="007E3314"/>
    <w:rsid w:val="007E3514"/>
    <w:rsid w:val="007E4B03"/>
    <w:rsid w:val="007E59A5"/>
    <w:rsid w:val="007E7555"/>
    <w:rsid w:val="007F13B6"/>
    <w:rsid w:val="007F324B"/>
    <w:rsid w:val="007F4756"/>
    <w:rsid w:val="00803031"/>
    <w:rsid w:val="00803B4C"/>
    <w:rsid w:val="00803EB9"/>
    <w:rsid w:val="0080553C"/>
    <w:rsid w:val="00805B46"/>
    <w:rsid w:val="00805DB4"/>
    <w:rsid w:val="00817603"/>
    <w:rsid w:val="00823593"/>
    <w:rsid w:val="00825DC2"/>
    <w:rsid w:val="00827D23"/>
    <w:rsid w:val="00831D01"/>
    <w:rsid w:val="00834AD3"/>
    <w:rsid w:val="00843795"/>
    <w:rsid w:val="00847F0F"/>
    <w:rsid w:val="00850B7B"/>
    <w:rsid w:val="00851D8F"/>
    <w:rsid w:val="00852448"/>
    <w:rsid w:val="00853698"/>
    <w:rsid w:val="008552E7"/>
    <w:rsid w:val="00855512"/>
    <w:rsid w:val="00857475"/>
    <w:rsid w:val="0086148B"/>
    <w:rsid w:val="00865B6F"/>
    <w:rsid w:val="008679F5"/>
    <w:rsid w:val="00877F6C"/>
    <w:rsid w:val="0088258A"/>
    <w:rsid w:val="00886332"/>
    <w:rsid w:val="008925F0"/>
    <w:rsid w:val="00892BB4"/>
    <w:rsid w:val="0089448A"/>
    <w:rsid w:val="00894C23"/>
    <w:rsid w:val="00897877"/>
    <w:rsid w:val="008A11B7"/>
    <w:rsid w:val="008A26D9"/>
    <w:rsid w:val="008A3906"/>
    <w:rsid w:val="008A62DD"/>
    <w:rsid w:val="008A7B5B"/>
    <w:rsid w:val="008B12D2"/>
    <w:rsid w:val="008B5996"/>
    <w:rsid w:val="008B652E"/>
    <w:rsid w:val="008B6BB2"/>
    <w:rsid w:val="008C0C29"/>
    <w:rsid w:val="008D02DA"/>
    <w:rsid w:val="008D5058"/>
    <w:rsid w:val="008D76BC"/>
    <w:rsid w:val="008D78EC"/>
    <w:rsid w:val="008E4A65"/>
    <w:rsid w:val="008E7DBA"/>
    <w:rsid w:val="008F0829"/>
    <w:rsid w:val="008F0DF3"/>
    <w:rsid w:val="008F28BF"/>
    <w:rsid w:val="008F3638"/>
    <w:rsid w:val="008F4441"/>
    <w:rsid w:val="008F6B20"/>
    <w:rsid w:val="008F6F31"/>
    <w:rsid w:val="008F74DF"/>
    <w:rsid w:val="009002EE"/>
    <w:rsid w:val="00900B42"/>
    <w:rsid w:val="00902274"/>
    <w:rsid w:val="009035E6"/>
    <w:rsid w:val="00903BBC"/>
    <w:rsid w:val="009127BA"/>
    <w:rsid w:val="009140DF"/>
    <w:rsid w:val="009166F3"/>
    <w:rsid w:val="009207AC"/>
    <w:rsid w:val="00920AAE"/>
    <w:rsid w:val="009227A6"/>
    <w:rsid w:val="00923F67"/>
    <w:rsid w:val="00933EC1"/>
    <w:rsid w:val="00940B6F"/>
    <w:rsid w:val="009435D7"/>
    <w:rsid w:val="009446AD"/>
    <w:rsid w:val="00945F44"/>
    <w:rsid w:val="00946480"/>
    <w:rsid w:val="00946B38"/>
    <w:rsid w:val="00950DA2"/>
    <w:rsid w:val="009530DB"/>
    <w:rsid w:val="00953676"/>
    <w:rsid w:val="00954A79"/>
    <w:rsid w:val="00956F30"/>
    <w:rsid w:val="00962B00"/>
    <w:rsid w:val="00964E5C"/>
    <w:rsid w:val="00966C9A"/>
    <w:rsid w:val="009705EE"/>
    <w:rsid w:val="00977927"/>
    <w:rsid w:val="0098135C"/>
    <w:rsid w:val="0098156A"/>
    <w:rsid w:val="009828A1"/>
    <w:rsid w:val="00991BAC"/>
    <w:rsid w:val="00994836"/>
    <w:rsid w:val="00994FDB"/>
    <w:rsid w:val="0099705F"/>
    <w:rsid w:val="00997EAE"/>
    <w:rsid w:val="009A6EA0"/>
    <w:rsid w:val="009B2CD4"/>
    <w:rsid w:val="009C1335"/>
    <w:rsid w:val="009C1AB2"/>
    <w:rsid w:val="009C7251"/>
    <w:rsid w:val="009D7814"/>
    <w:rsid w:val="009E2E91"/>
    <w:rsid w:val="009E7D31"/>
    <w:rsid w:val="009F6E77"/>
    <w:rsid w:val="009F7C41"/>
    <w:rsid w:val="00A01B40"/>
    <w:rsid w:val="00A139F5"/>
    <w:rsid w:val="00A32E16"/>
    <w:rsid w:val="00A365F4"/>
    <w:rsid w:val="00A412F4"/>
    <w:rsid w:val="00A4191F"/>
    <w:rsid w:val="00A41E1A"/>
    <w:rsid w:val="00A47D80"/>
    <w:rsid w:val="00A53132"/>
    <w:rsid w:val="00A54910"/>
    <w:rsid w:val="00A54ADB"/>
    <w:rsid w:val="00A563F2"/>
    <w:rsid w:val="00A566E8"/>
    <w:rsid w:val="00A62247"/>
    <w:rsid w:val="00A633AD"/>
    <w:rsid w:val="00A655BA"/>
    <w:rsid w:val="00A66347"/>
    <w:rsid w:val="00A7392B"/>
    <w:rsid w:val="00A810F9"/>
    <w:rsid w:val="00A82D31"/>
    <w:rsid w:val="00A85E7E"/>
    <w:rsid w:val="00A86ECC"/>
    <w:rsid w:val="00A86FCC"/>
    <w:rsid w:val="00A90A6D"/>
    <w:rsid w:val="00A90EAC"/>
    <w:rsid w:val="00A91617"/>
    <w:rsid w:val="00A95948"/>
    <w:rsid w:val="00A971E5"/>
    <w:rsid w:val="00AA710D"/>
    <w:rsid w:val="00AB64F3"/>
    <w:rsid w:val="00AB6D25"/>
    <w:rsid w:val="00AC1B72"/>
    <w:rsid w:val="00AC1DC3"/>
    <w:rsid w:val="00AC5147"/>
    <w:rsid w:val="00AD0E56"/>
    <w:rsid w:val="00AD1763"/>
    <w:rsid w:val="00AE229B"/>
    <w:rsid w:val="00AE2D4B"/>
    <w:rsid w:val="00AE4819"/>
    <w:rsid w:val="00AE4F99"/>
    <w:rsid w:val="00AE69FC"/>
    <w:rsid w:val="00AF0A6E"/>
    <w:rsid w:val="00AF59DB"/>
    <w:rsid w:val="00B04DD8"/>
    <w:rsid w:val="00B10921"/>
    <w:rsid w:val="00B11B69"/>
    <w:rsid w:val="00B14952"/>
    <w:rsid w:val="00B14ECC"/>
    <w:rsid w:val="00B166E0"/>
    <w:rsid w:val="00B16871"/>
    <w:rsid w:val="00B25779"/>
    <w:rsid w:val="00B25B45"/>
    <w:rsid w:val="00B25BD5"/>
    <w:rsid w:val="00B31E5A"/>
    <w:rsid w:val="00B34EB8"/>
    <w:rsid w:val="00B47359"/>
    <w:rsid w:val="00B5633C"/>
    <w:rsid w:val="00B57525"/>
    <w:rsid w:val="00B643FC"/>
    <w:rsid w:val="00B648B1"/>
    <w:rsid w:val="00B653AB"/>
    <w:rsid w:val="00B65F9E"/>
    <w:rsid w:val="00B666F8"/>
    <w:rsid w:val="00B66B19"/>
    <w:rsid w:val="00B72E61"/>
    <w:rsid w:val="00B75E0C"/>
    <w:rsid w:val="00B8593C"/>
    <w:rsid w:val="00B914E9"/>
    <w:rsid w:val="00B956EE"/>
    <w:rsid w:val="00BA2BA1"/>
    <w:rsid w:val="00BA3447"/>
    <w:rsid w:val="00BA3562"/>
    <w:rsid w:val="00BA5EF3"/>
    <w:rsid w:val="00BB41ED"/>
    <w:rsid w:val="00BB4F09"/>
    <w:rsid w:val="00BB54B5"/>
    <w:rsid w:val="00BC070B"/>
    <w:rsid w:val="00BD043D"/>
    <w:rsid w:val="00BD4E33"/>
    <w:rsid w:val="00BE655D"/>
    <w:rsid w:val="00C0131D"/>
    <w:rsid w:val="00C030DE"/>
    <w:rsid w:val="00C04D49"/>
    <w:rsid w:val="00C051A8"/>
    <w:rsid w:val="00C15242"/>
    <w:rsid w:val="00C17BD0"/>
    <w:rsid w:val="00C20E3B"/>
    <w:rsid w:val="00C2157E"/>
    <w:rsid w:val="00C22105"/>
    <w:rsid w:val="00C244B6"/>
    <w:rsid w:val="00C27BF1"/>
    <w:rsid w:val="00C27C16"/>
    <w:rsid w:val="00C27D66"/>
    <w:rsid w:val="00C30F89"/>
    <w:rsid w:val="00C31219"/>
    <w:rsid w:val="00C331DA"/>
    <w:rsid w:val="00C3702F"/>
    <w:rsid w:val="00C40887"/>
    <w:rsid w:val="00C43D7F"/>
    <w:rsid w:val="00C4500A"/>
    <w:rsid w:val="00C46DE1"/>
    <w:rsid w:val="00C60504"/>
    <w:rsid w:val="00C61182"/>
    <w:rsid w:val="00C61D43"/>
    <w:rsid w:val="00C62238"/>
    <w:rsid w:val="00C64A37"/>
    <w:rsid w:val="00C7158E"/>
    <w:rsid w:val="00C7250B"/>
    <w:rsid w:val="00C7346B"/>
    <w:rsid w:val="00C75A63"/>
    <w:rsid w:val="00C77C0E"/>
    <w:rsid w:val="00C81173"/>
    <w:rsid w:val="00C83E3C"/>
    <w:rsid w:val="00C91687"/>
    <w:rsid w:val="00C924A8"/>
    <w:rsid w:val="00C945FE"/>
    <w:rsid w:val="00C96FAA"/>
    <w:rsid w:val="00C97A04"/>
    <w:rsid w:val="00CA0D6E"/>
    <w:rsid w:val="00CA107B"/>
    <w:rsid w:val="00CA484D"/>
    <w:rsid w:val="00CA4FB6"/>
    <w:rsid w:val="00CA784C"/>
    <w:rsid w:val="00CB1EA7"/>
    <w:rsid w:val="00CB2F90"/>
    <w:rsid w:val="00CB5BFD"/>
    <w:rsid w:val="00CB6AD4"/>
    <w:rsid w:val="00CC4AB0"/>
    <w:rsid w:val="00CC739E"/>
    <w:rsid w:val="00CD1EBB"/>
    <w:rsid w:val="00CD28CF"/>
    <w:rsid w:val="00CD3823"/>
    <w:rsid w:val="00CD58B7"/>
    <w:rsid w:val="00CD6DA6"/>
    <w:rsid w:val="00CD7967"/>
    <w:rsid w:val="00CE09D0"/>
    <w:rsid w:val="00CE2996"/>
    <w:rsid w:val="00CE38F3"/>
    <w:rsid w:val="00CE391F"/>
    <w:rsid w:val="00CE3F79"/>
    <w:rsid w:val="00CE4B9D"/>
    <w:rsid w:val="00CE6373"/>
    <w:rsid w:val="00CF18EE"/>
    <w:rsid w:val="00CF30BD"/>
    <w:rsid w:val="00CF4099"/>
    <w:rsid w:val="00CF4AEE"/>
    <w:rsid w:val="00D00796"/>
    <w:rsid w:val="00D04313"/>
    <w:rsid w:val="00D11371"/>
    <w:rsid w:val="00D214D0"/>
    <w:rsid w:val="00D22223"/>
    <w:rsid w:val="00D22C65"/>
    <w:rsid w:val="00D261A2"/>
    <w:rsid w:val="00D41092"/>
    <w:rsid w:val="00D46842"/>
    <w:rsid w:val="00D50845"/>
    <w:rsid w:val="00D616D2"/>
    <w:rsid w:val="00D63B5F"/>
    <w:rsid w:val="00D70EF7"/>
    <w:rsid w:val="00D71DCB"/>
    <w:rsid w:val="00D73EDE"/>
    <w:rsid w:val="00D74D36"/>
    <w:rsid w:val="00D777AE"/>
    <w:rsid w:val="00D8128F"/>
    <w:rsid w:val="00D8188C"/>
    <w:rsid w:val="00D8263D"/>
    <w:rsid w:val="00D8397C"/>
    <w:rsid w:val="00D841DA"/>
    <w:rsid w:val="00D86A50"/>
    <w:rsid w:val="00D94EED"/>
    <w:rsid w:val="00D96026"/>
    <w:rsid w:val="00D972F6"/>
    <w:rsid w:val="00DA169F"/>
    <w:rsid w:val="00DA331D"/>
    <w:rsid w:val="00DA752D"/>
    <w:rsid w:val="00DA7C1C"/>
    <w:rsid w:val="00DB147A"/>
    <w:rsid w:val="00DB1778"/>
    <w:rsid w:val="00DB1B7A"/>
    <w:rsid w:val="00DB706E"/>
    <w:rsid w:val="00DB7D02"/>
    <w:rsid w:val="00DC3E9C"/>
    <w:rsid w:val="00DC6708"/>
    <w:rsid w:val="00DD011A"/>
    <w:rsid w:val="00DD28B9"/>
    <w:rsid w:val="00DD4279"/>
    <w:rsid w:val="00DD56A8"/>
    <w:rsid w:val="00DD5D79"/>
    <w:rsid w:val="00DE1D0A"/>
    <w:rsid w:val="00DE2400"/>
    <w:rsid w:val="00DE58F1"/>
    <w:rsid w:val="00DE6B58"/>
    <w:rsid w:val="00DF09CF"/>
    <w:rsid w:val="00DF1B9A"/>
    <w:rsid w:val="00DF5E3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790"/>
    <w:rsid w:val="00E4714C"/>
    <w:rsid w:val="00E510EA"/>
    <w:rsid w:val="00E5178D"/>
    <w:rsid w:val="00E51AEB"/>
    <w:rsid w:val="00E522A7"/>
    <w:rsid w:val="00E5349E"/>
    <w:rsid w:val="00E54452"/>
    <w:rsid w:val="00E63B0C"/>
    <w:rsid w:val="00E664C5"/>
    <w:rsid w:val="00E671A2"/>
    <w:rsid w:val="00E67976"/>
    <w:rsid w:val="00E76D26"/>
    <w:rsid w:val="00E76EE5"/>
    <w:rsid w:val="00E86224"/>
    <w:rsid w:val="00E90F48"/>
    <w:rsid w:val="00E94DB8"/>
    <w:rsid w:val="00E95036"/>
    <w:rsid w:val="00E95B8E"/>
    <w:rsid w:val="00EB1390"/>
    <w:rsid w:val="00EB2C71"/>
    <w:rsid w:val="00EB3333"/>
    <w:rsid w:val="00EB4340"/>
    <w:rsid w:val="00EB556D"/>
    <w:rsid w:val="00EB5A7D"/>
    <w:rsid w:val="00EB7543"/>
    <w:rsid w:val="00EC002B"/>
    <w:rsid w:val="00EC064E"/>
    <w:rsid w:val="00EC2768"/>
    <w:rsid w:val="00EC2881"/>
    <w:rsid w:val="00ED3F36"/>
    <w:rsid w:val="00ED55C0"/>
    <w:rsid w:val="00ED682B"/>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18C4"/>
    <w:rsid w:val="00F25342"/>
    <w:rsid w:val="00F27C8F"/>
    <w:rsid w:val="00F32749"/>
    <w:rsid w:val="00F37172"/>
    <w:rsid w:val="00F4477E"/>
    <w:rsid w:val="00F45D23"/>
    <w:rsid w:val="00F46269"/>
    <w:rsid w:val="00F4718D"/>
    <w:rsid w:val="00F503F4"/>
    <w:rsid w:val="00F5478D"/>
    <w:rsid w:val="00F60BA8"/>
    <w:rsid w:val="00F63B35"/>
    <w:rsid w:val="00F6527D"/>
    <w:rsid w:val="00F666B1"/>
    <w:rsid w:val="00F67D8F"/>
    <w:rsid w:val="00F76BBB"/>
    <w:rsid w:val="00F7791B"/>
    <w:rsid w:val="00F802BE"/>
    <w:rsid w:val="00F80E93"/>
    <w:rsid w:val="00F86024"/>
    <w:rsid w:val="00F8611A"/>
    <w:rsid w:val="00F877AD"/>
    <w:rsid w:val="00F944B1"/>
    <w:rsid w:val="00FA180B"/>
    <w:rsid w:val="00FA2F14"/>
    <w:rsid w:val="00FA4C52"/>
    <w:rsid w:val="00FA4D6D"/>
    <w:rsid w:val="00FA5128"/>
    <w:rsid w:val="00FB2A9E"/>
    <w:rsid w:val="00FB42D4"/>
    <w:rsid w:val="00FB5906"/>
    <w:rsid w:val="00FB762F"/>
    <w:rsid w:val="00FC151D"/>
    <w:rsid w:val="00FC16E1"/>
    <w:rsid w:val="00FC2AED"/>
    <w:rsid w:val="00FC5672"/>
    <w:rsid w:val="00FD3490"/>
    <w:rsid w:val="00FD5EA7"/>
    <w:rsid w:val="00FE12AA"/>
    <w:rsid w:val="00FE36CF"/>
    <w:rsid w:val="00FE38B0"/>
    <w:rsid w:val="00FE4C69"/>
    <w:rsid w:val="00FF0246"/>
    <w:rsid w:val="00FF08DB"/>
    <w:rsid w:val="00FF16FB"/>
    <w:rsid w:val="00FF6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B8E27934-9AA5-4B13-8C97-F31C8182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 w:type="paragraph" w:styleId="Tekstprzypisukocowego">
    <w:name w:val="endnote text"/>
    <w:basedOn w:val="Normalny"/>
    <w:link w:val="TekstprzypisukocowegoZnak"/>
    <w:uiPriority w:val="99"/>
    <w:semiHidden/>
    <w:unhideWhenUsed/>
    <w:rsid w:val="009207A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07AC"/>
    <w:rPr>
      <w:rFonts w:ascii="Fira Sans" w:hAnsi="Fira Sans"/>
      <w:sz w:val="20"/>
      <w:szCs w:val="20"/>
    </w:rPr>
  </w:style>
  <w:style w:type="character" w:styleId="Odwoanieprzypisukocowego">
    <w:name w:val="endnote reference"/>
    <w:basedOn w:val="Domylnaczcionkaakapitu"/>
    <w:uiPriority w:val="99"/>
    <w:semiHidden/>
    <w:unhideWhenUsed/>
    <w:rsid w:val="009207AC"/>
    <w:rPr>
      <w:vertAlign w:val="superscript"/>
    </w:rPr>
  </w:style>
  <w:style w:type="character" w:styleId="UyteHipercze">
    <w:name w:val="FollowedHyperlink"/>
    <w:basedOn w:val="Domylnaczcionkaakapitu"/>
    <w:uiPriority w:val="99"/>
    <w:semiHidden/>
    <w:unhideWhenUsed/>
    <w:rsid w:val="00254E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the-first-half-of-2022,1,54.html" TargetMode="External"/><Relationship Id="rId32" Type="http://schemas.openxmlformats.org/officeDocument/2006/relationships/hyperlink" Target="https://stat.gov.pl/en/metainformations/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kopia_danych_do_12-X-2022\dysk_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kopia_danych_do_12-X-2022\dysk_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175E-2"/>
          <c:y val="8.6234567901234668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osia'!$B$91:$C$124</c:f>
              <c:multiLvlStrCache>
                <c:ptCount val="34"/>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lvl>
                <c:lvl>
                  <c:pt idx="0">
                    <c:v>2020</c:v>
                  </c:pt>
                  <c:pt idx="12">
                    <c:v>2021</c:v>
                  </c:pt>
                  <c:pt idx="24">
                    <c:v>2022</c:v>
                  </c:pt>
                </c:lvl>
              </c:multiLvlStrCache>
            </c:multiLvlStrRef>
          </c:cat>
          <c:val>
            <c:numRef>
              <c:f>'gl wykres z dod osia ENG'!$D$26:$D$59</c:f>
              <c:numCache>
                <c:formatCode>0.0</c:formatCode>
                <c:ptCount val="34"/>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pt idx="29" formatCode="General">
                  <c:v>6496.7</c:v>
                </c:pt>
                <c:pt idx="30" formatCode="General">
                  <c:v>6508.3</c:v>
                </c:pt>
                <c:pt idx="31" formatCode="General">
                  <c:v>6502.6</c:v>
                </c:pt>
                <c:pt idx="32" formatCode="General">
                  <c:v>6493.8</c:v>
                </c:pt>
                <c:pt idx="33" formatCode="General">
                  <c:v>6500.9</c:v>
                </c:pt>
              </c:numCache>
            </c:numRef>
          </c:val>
        </c:ser>
        <c:dLbls>
          <c:showLegendKey val="0"/>
          <c:showVal val="0"/>
          <c:showCatName val="0"/>
          <c:showSerName val="0"/>
          <c:showPercent val="0"/>
          <c:showBubbleSize val="0"/>
        </c:dLbls>
        <c:gapWidth val="100"/>
        <c:axId val="-1408984960"/>
        <c:axId val="-1408988768"/>
      </c:barChart>
      <c:lineChart>
        <c:grouping val="standard"/>
        <c:varyColors val="0"/>
        <c:ser>
          <c:idx val="1"/>
          <c:order val="1"/>
          <c:tx>
            <c:strRef>
              <c:f>'gl wykres z dod osia ENG'!$D$63</c:f>
              <c:strCache>
                <c:ptCount val="1"/>
                <c:pt idx="0">
                  <c:v>Indices, corresponding month of previous year=100 (right scale)</c:v>
                </c:pt>
              </c:strCache>
            </c:strRef>
          </c:tx>
          <c:spPr>
            <a:ln>
              <a:solidFill>
                <a:srgbClr val="008542"/>
              </a:solidFill>
            </a:ln>
          </c:spPr>
          <c:marker>
            <c:symbol val="none"/>
          </c:marker>
          <c:cat>
            <c:strRef>
              <c:f>'gl wykres z dod osia'!$C$91:$C$124</c:f>
              <c:strCache>
                <c:ptCount val="34"/>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strCache>
            </c:strRef>
          </c:cat>
          <c:val>
            <c:numRef>
              <c:f>'gl wykres z dod osia ENG'!$D$88:$D$121</c:f>
              <c:numCache>
                <c:formatCode>0.0</c:formatCode>
                <c:ptCount val="34"/>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pt idx="29" formatCode="General">
                  <c:v>102.2</c:v>
                </c:pt>
                <c:pt idx="30" formatCode="General">
                  <c:v>102.3</c:v>
                </c:pt>
                <c:pt idx="31" formatCode="General">
                  <c:v>102.4</c:v>
                </c:pt>
                <c:pt idx="32" formatCode="General">
                  <c:v>102.3</c:v>
                </c:pt>
                <c:pt idx="33" formatCode="General">
                  <c:v>102.4</c:v>
                </c:pt>
              </c:numCache>
            </c:numRef>
          </c:val>
          <c:smooth val="0"/>
        </c:ser>
        <c:dLbls>
          <c:showLegendKey val="0"/>
          <c:showVal val="0"/>
          <c:showCatName val="0"/>
          <c:showSerName val="0"/>
          <c:showPercent val="0"/>
          <c:showBubbleSize val="0"/>
        </c:dLbls>
        <c:marker val="1"/>
        <c:smooth val="0"/>
        <c:axId val="-1408985504"/>
        <c:axId val="-1408986048"/>
      </c:lineChart>
      <c:catAx>
        <c:axId val="-1408984960"/>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408988768"/>
        <c:crosses val="autoZero"/>
        <c:auto val="1"/>
        <c:lblAlgn val="ctr"/>
        <c:lblOffset val="100"/>
        <c:noMultiLvlLbl val="0"/>
      </c:catAx>
      <c:valAx>
        <c:axId val="-1408988768"/>
        <c:scaling>
          <c:orientation val="minMax"/>
          <c:max val="675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51E-3"/>
              <c:y val="6.6049382716047743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408984960"/>
        <c:crosses val="autoZero"/>
        <c:crossBetween val="between"/>
        <c:majorUnit val="250"/>
      </c:valAx>
      <c:valAx>
        <c:axId val="-1408986048"/>
        <c:scaling>
          <c:orientation val="minMax"/>
          <c:max val="130"/>
          <c:min val="70"/>
        </c:scaling>
        <c:delete val="0"/>
        <c:axPos val="r"/>
        <c:numFmt formatCode="0" sourceLinked="0"/>
        <c:majorTickMark val="out"/>
        <c:minorTickMark val="none"/>
        <c:tickLblPos val="nextTo"/>
        <c:spPr>
          <a:ln>
            <a:noFill/>
          </a:ln>
        </c:spPr>
        <c:crossAx val="-1408985504"/>
        <c:crosses val="max"/>
        <c:crossBetween val="between"/>
        <c:majorUnit val="5"/>
      </c:valAx>
      <c:catAx>
        <c:axId val="-1408985504"/>
        <c:scaling>
          <c:orientation val="minMax"/>
        </c:scaling>
        <c:delete val="1"/>
        <c:axPos val="b"/>
        <c:numFmt formatCode="General" sourceLinked="1"/>
        <c:majorTickMark val="out"/>
        <c:minorTickMark val="none"/>
        <c:tickLblPos val="none"/>
        <c:crossAx val="-1408986048"/>
        <c:crosses val="autoZero"/>
        <c:auto val="1"/>
        <c:lblAlgn val="ctr"/>
        <c:lblOffset val="100"/>
        <c:noMultiLvlLbl val="0"/>
      </c:catAx>
      <c:spPr>
        <a:noFill/>
        <a:ln>
          <a:noFill/>
        </a:ln>
        <a:effectLst/>
      </c:spPr>
    </c:plotArea>
    <c:legend>
      <c:legendPos val="b"/>
      <c:layout>
        <c:manualLayout>
          <c:xMode val="edge"/>
          <c:yMode val="edge"/>
          <c:x val="7.067619708562832E-2"/>
          <c:y val="0.87979753086420065"/>
          <c:w val="0.8685645514095045"/>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231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ENG'!$B$27:$C$60</c:f>
              <c:multiLvlStrCache>
                <c:ptCount val="34"/>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lvl>
                <c:lvl>
                  <c:pt idx="0">
                    <c:v>2020</c:v>
                  </c:pt>
                  <c:pt idx="12">
                    <c:v>2021</c:v>
                  </c:pt>
                  <c:pt idx="24">
                    <c:v>2022</c:v>
                  </c:pt>
                </c:lvl>
              </c:multiLvlStrCache>
            </c:multiLvlStrRef>
          </c:cat>
          <c:val>
            <c:numRef>
              <c:f>'wykres wynagrodzenie glowny ENG'!$D$27:$D$60</c:f>
              <c:numCache>
                <c:formatCode>0.00</c:formatCode>
                <c:ptCount val="34"/>
                <c:pt idx="0">
                  <c:v>5282.8</c:v>
                </c:pt>
                <c:pt idx="1">
                  <c:v>5330.48</c:v>
                </c:pt>
                <c:pt idx="2">
                  <c:v>5489.21</c:v>
                </c:pt>
                <c:pt idx="3">
                  <c:v>5285.01</c:v>
                </c:pt>
                <c:pt idx="4">
                  <c:v>5119.9399999999996</c:v>
                </c:pt>
                <c:pt idx="5">
                  <c:v>5286</c:v>
                </c:pt>
                <c:pt idx="6">
                  <c:v>5381.65</c:v>
                </c:pt>
                <c:pt idx="7">
                  <c:v>5337.65</c:v>
                </c:pt>
                <c:pt idx="8">
                  <c:v>5371.56</c:v>
                </c:pt>
                <c:pt idx="9">
                  <c:v>5458.88</c:v>
                </c:pt>
                <c:pt idx="10">
                  <c:v>5484.07</c:v>
                </c:pt>
                <c:pt idx="11">
                  <c:v>5973.75</c:v>
                </c:pt>
                <c:pt idx="12">
                  <c:v>5536.8</c:v>
                </c:pt>
                <c:pt idx="13">
                  <c:v>5568.82</c:v>
                </c:pt>
                <c:pt idx="14">
                  <c:v>5929.05</c:v>
                </c:pt>
                <c:pt idx="15">
                  <c:v>5805.72</c:v>
                </c:pt>
                <c:pt idx="16">
                  <c:v>5637.34</c:v>
                </c:pt>
                <c:pt idx="17">
                  <c:v>5802.42</c:v>
                </c:pt>
                <c:pt idx="18">
                  <c:v>5851.87</c:v>
                </c:pt>
                <c:pt idx="19">
                  <c:v>5843.75</c:v>
                </c:pt>
                <c:pt idx="20">
                  <c:v>5841.16</c:v>
                </c:pt>
                <c:pt idx="21">
                  <c:v>5917.15</c:v>
                </c:pt>
                <c:pt idx="22">
                  <c:v>6022.49</c:v>
                </c:pt>
                <c:pt idx="23">
                  <c:v>6644.39</c:v>
                </c:pt>
                <c:pt idx="24">
                  <c:v>6064.24</c:v>
                </c:pt>
                <c:pt idx="25">
                  <c:v>6220.04</c:v>
                </c:pt>
                <c:pt idx="26">
                  <c:v>6665.64</c:v>
                </c:pt>
                <c:pt idx="27">
                  <c:v>6626.95</c:v>
                </c:pt>
                <c:pt idx="28">
                  <c:v>6399.59</c:v>
                </c:pt>
                <c:pt idx="29">
                  <c:v>6554.87</c:v>
                </c:pt>
                <c:pt idx="30">
                  <c:v>6778.63</c:v>
                </c:pt>
                <c:pt idx="31">
                  <c:v>6583.03</c:v>
                </c:pt>
                <c:pt idx="32">
                  <c:v>6687.81</c:v>
                </c:pt>
                <c:pt idx="33">
                  <c:v>6687.92</c:v>
                </c:pt>
              </c:numCache>
            </c:numRef>
          </c:val>
          <c:smooth val="0"/>
        </c:ser>
        <c:dLbls>
          <c:showLegendKey val="0"/>
          <c:showVal val="0"/>
          <c:showCatName val="0"/>
          <c:showSerName val="0"/>
          <c:showPercent val="0"/>
          <c:showBubbleSize val="0"/>
        </c:dLbls>
        <c:smooth val="0"/>
        <c:axId val="-1408981696"/>
        <c:axId val="-1480764896"/>
      </c:lineChart>
      <c:catAx>
        <c:axId val="-140898169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480764896"/>
        <c:crosses val="autoZero"/>
        <c:auto val="1"/>
        <c:lblAlgn val="ctr"/>
        <c:lblOffset val="100"/>
        <c:noMultiLvlLbl val="0"/>
      </c:catAx>
      <c:valAx>
        <c:axId val="-1480764896"/>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48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4089816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Average_paid_employment_and_average_gross_wages_and_salaries 082022.docx</NazwaPliku>
    <Odbiorcy2 xmlns="AD3641B4-23D9-4536-AF9E-7D0EADDEB824" xsi:nil="true"/>
    <Osoba xmlns="AD3641B4-23D9-4536-AF9E-7D0EADDEB824">STAT\WINIARZA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F5C38EDC-81B9-41A2-BDD0-7A223911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5138E-48D6-4167-A8CC-D8808B93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5</Pages>
  <Words>1166</Words>
  <Characters>7000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2022-04-19T14:23:00Z</cp:lastPrinted>
  <dcterms:created xsi:type="dcterms:W3CDTF">2022-09-14T14:25:00Z</dcterms:created>
  <dcterms:modified xsi:type="dcterms:W3CDTF">2022-11-21T11:12:00Z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